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distribute"/>
        <w:rPr>
          <w:rFonts w:ascii="方正小标宋_GBK" w:eastAsia="方正小标宋_GBK"/>
          <w:color w:val="000000"/>
          <w:w w:val="52"/>
          <w:sz w:val="90"/>
          <w:szCs w:val="90"/>
        </w:rPr>
      </w:pPr>
      <w:r>
        <w:rPr>
          <w:rFonts w:ascii="方正小标宋_GBK" w:eastAsia="方正小标宋_GBK" w:hint="eastAsia"/>
          <w:color w:val="000000"/>
          <w:w w:val="52"/>
          <w:sz w:val="90"/>
          <w:szCs w:val="90"/>
        </w:rPr>
        <w:t>南通市房地产市场平稳健康发展领导小组</w:t>
      </w:r>
    </w:p>
    <w:p>
      <w:pPr>
        <w:jc w:val="center"/>
        <w:rPr>
          <w:kern w:val="32"/>
        </w:rPr>
      </w:pPr>
    </w:p>
    <w:p>
      <w:pPr>
        <w:jc w:val="center"/>
        <w:rPr>
          <w:rFonts w:ascii="方正仿宋_GBK"/>
          <w:color w:val="FF0000"/>
          <w:sz w:val="52"/>
          <w:szCs w:val="52"/>
        </w:rPr>
      </w:pPr>
      <w:r>
        <w:rPr>
          <w:rFonts w:ascii="方正仿宋_GBK" w:hint="eastAsia"/>
          <w:kern w:val="32"/>
        </w:rPr>
        <w:t>通房组发</w:t>
      </w:r>
      <w:r>
        <w:rPr>
          <w:rFonts w:ascii="方正仿宋_GBK" w:hint="eastAsia"/>
        </w:rPr>
        <w:t>〔2024〕1号</w:t>
      </w:r>
    </w:p>
    <w:p>
      <w:pPr>
        <w:pStyle w:val="19"/>
        <w:tabs>
          <w:tab w:val="left" w:pos="9193"/>
          <w:tab w:val="left" w:pos="9827"/>
        </w:tabs>
        <w:autoSpaceDE w:val="0"/>
        <w:autoSpaceDN w:val="0"/>
        <w:snapToGrid w:val="0"/>
        <w:spacing w:line="700" w:lineRule="exact"/>
        <w:rPr>
          <w:kern w:val="32"/>
        </w:rPr>
      </w:pPr>
      <w:r>
        <w:rPr>
          <w:rFonts w:ascii="方正小标宋_GBK"/>
          <w:color w:val="FF0000"/>
          <w:sz w:val="52"/>
          <w:szCs w:val="52"/>
        </w:rPr>
        <mc:AlternateContent>
          <mc:Choice Requires="wps">
            <w:drawing>
              <wp:anchor distT="0" distB="0" distL="114298" distR="114298" simplePos="0" relativeHeight="20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46355</wp:posOffset>
                </wp:positionV>
                <wp:extent cx="5829300" cy="952"/>
                <wp:effectExtent l="0" t="0" r="0" b="0"/>
                <wp:wrapNone/>
                <wp:docPr id="7" name="_x0000_s102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29300" cy="952"/>
                        </a:xfrm>
                        <a:prstGeom prst="line"/>
                        <a:noFill/>
                        <a:ln w="190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_x0000_s1026 8" o:spid="_x0000_s8" from="-9.0pt,3.6499999pt" to="450.0pt,3.7249987pt" filled="f" stroked="t" strokeweight="1.5pt" style="position:absolute;z-index:20;mso-position-horizontal:absolute;mso-position-vertical:absolute;mso-wrap-distance-left:8.999863pt;mso-wrap-distance-right:8.999863pt;visibility:visible;">
                <v:stroke color="#000000"/>
              </v:line>
            </w:pict>
          </mc:Fallback>
        </mc:AlternateContent>
      </w:r>
    </w:p>
    <w:p>
      <w:pPr>
        <w:autoSpaceDE w:val="0"/>
        <w:autoSpaceDN w:val="0"/>
        <w:snapToGrid w:val="0"/>
        <w:spacing w:line="0" w:lineRule="atLeast"/>
        <w:jc w:val="center"/>
        <w:rPr>
          <w:rFonts w:ascii="方正小标宋_GBK" w:eastAsia="方正小标宋_GBK" w:cs="方正小标宋_GBK"/>
          <w:kern w:val="3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32"/>
          <w:sz w:val="44"/>
          <w:szCs w:val="44"/>
        </w:rPr>
        <w:t>关于进一步促进全市房地产市场</w:t>
      </w:r>
    </w:p>
    <w:p>
      <w:pPr>
        <w:autoSpaceDE w:val="0"/>
        <w:autoSpaceDN w:val="0"/>
        <w:snapToGrid w:val="0"/>
        <w:spacing w:line="0" w:lineRule="atLeast"/>
        <w:jc w:val="center"/>
        <w:rPr>
          <w:rFonts w:ascii="方正小标宋_GBK" w:eastAsia="方正小标宋_GBK" w:cs="方正小标宋_GBK"/>
          <w:kern w:val="3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32"/>
          <w:sz w:val="44"/>
          <w:szCs w:val="44"/>
        </w:rPr>
        <w:t>平稳健康发展的通知</w:t>
      </w:r>
    </w:p>
    <w:p>
      <w:pPr>
        <w:spacing w:line="590" w:lineRule="exact"/>
        <w:rPr>
          <w:kern w:val="32"/>
        </w:rPr>
      </w:pPr>
    </w:p>
    <w:p>
      <w:pPr>
        <w:spacing w:line="560" w:lineRule="exact"/>
        <w:rPr>
          <w:kern w:val="32"/>
        </w:rPr>
      </w:pPr>
      <w:r>
        <w:rPr>
          <w:kern w:val="32"/>
        </w:rPr>
        <w:t>各县（市、区）人民政府，市各直属园区管委会，市有关部门和单位：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  <w:highlight w:val="yellow"/>
        </w:rPr>
      </w:pPr>
      <w:r>
        <w:rPr>
          <w:rFonts w:hint="eastAsia"/>
          <w:kern w:val="32"/>
        </w:rPr>
        <w:t>为加快构建房地产发展新模式，进一步满足居民刚性和多样化改善性住房需求，促进我市房地产市场平稳健康发展，现就有关事项通知如下</w:t>
      </w:r>
      <w:r>
        <w:rPr>
          <w:rFonts w:ascii="Times New Roman" w:hAnsi="Times New Roman"/>
          <w:kern w:val="0"/>
        </w:rPr>
        <w:t>：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方正仿宋_GBK"/>
          <w:kern w:val="0"/>
        </w:rPr>
      </w:pPr>
      <w:r>
        <w:rPr>
          <w:rFonts w:ascii="方正黑体_GBK" w:eastAsia="方正黑体_GBK" w:hint="eastAsia"/>
          <w:kern w:val="0"/>
        </w:rPr>
        <w:t>一、推动房票跨区使用。</w:t>
      </w:r>
      <w:r>
        <w:rPr>
          <w:rFonts w:ascii="方正仿宋_GBK" w:hint="eastAsia"/>
          <w:kern w:val="0"/>
        </w:rPr>
        <w:t>在征迁补偿中优先采取房票安置，推行房票在全市范围内“通兑通用”，建立全市统一的“房源超市”。对跨区域使用房票给予奖补，房票开具后6个月内使用的，按照房票票面值的10%给予奖补；7至12个月内使用的，按照房票票面值的5%给予奖补；1年后再使用的，按房票票面值兑付，不再给予奖补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方正仿宋_GBK"/>
          <w:kern w:val="0"/>
        </w:rPr>
      </w:pPr>
      <w:r>
        <w:rPr>
          <w:rFonts w:ascii="方正黑体_GBK" w:eastAsia="方正黑体_GBK"/>
          <w:kern w:val="0"/>
        </w:rPr>
        <w:t>二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加大购房奖补力度。</w:t>
      </w:r>
      <w:r>
        <w:rPr>
          <w:rFonts w:ascii="方正仿宋_GBK" w:hint="eastAsia"/>
          <w:kern w:val="0"/>
        </w:rPr>
        <w:t>2024年4月1日至2025年6月30日期间，在主城区</w:t>
      </w:r>
      <w:r>
        <w:rPr>
          <w:rFonts w:ascii="Times New Roman" w:hAnsi="Times New Roman"/>
          <w:kern w:val="0"/>
        </w:rPr>
        <w:t>（</w:t>
      </w:r>
      <w:r>
        <w:rPr>
          <w:rFonts w:ascii="Times New Roman" w:eastAsia="方正楷体_GBK" w:hAnsi="Times New Roman"/>
          <w:kern w:val="0"/>
        </w:rPr>
        <w:t>崇川区、南通经济技术开发区、苏锡通园区，下同</w:t>
      </w:r>
      <w:r>
        <w:rPr>
          <w:rFonts w:ascii="Times New Roman" w:hAnsi="Times New Roman"/>
          <w:kern w:val="0"/>
        </w:rPr>
        <w:t>）范围内</w:t>
      </w:r>
      <w:r>
        <w:rPr>
          <w:rFonts w:ascii="方正仿宋_GBK" w:hint="eastAsia"/>
          <w:kern w:val="0"/>
        </w:rPr>
        <w:t>购买新建商品住房的，给予购房款总额1.5%的奖补。自愿退出（放弃）农村宅基地进城购房的，给予一定额度的奖补，具体标准由全市各地自行制定。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方正仿宋_GBK"/>
          <w:kern w:val="0"/>
        </w:rPr>
      </w:pPr>
      <w:r>
        <w:rPr>
          <w:rFonts w:ascii="方正黑体_GBK" w:eastAsia="方正黑体_GBK"/>
          <w:kern w:val="0"/>
        </w:rPr>
        <w:t>三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优化住房信贷政策。</w:t>
      </w:r>
      <w:r>
        <w:rPr>
          <w:rFonts w:ascii="方正仿宋_GBK" w:hint="eastAsia"/>
          <w:kern w:val="0"/>
        </w:rPr>
        <w:t>取消首套和二套住房商业性个人住房贷款利率政策下限，首套住房商业性个人住房贷款最低首付比例不低于15%，二套房最低首付比例不低于25%。购房人在拟购住房所在城区范围内仅有一套住房且正在挂牌出售的，可按首套住房办理贷款；二孩及以上家庭办理贷款时，在住房套数认定时可核减1套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</w:rPr>
      </w:pPr>
      <w:r>
        <w:rPr>
          <w:rFonts w:ascii="方正黑体_GBK" w:eastAsia="方正黑体_GBK"/>
          <w:kern w:val="0"/>
        </w:rPr>
        <w:t>四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提高公积金贷款额度。</w:t>
      </w:r>
      <w:r>
        <w:rPr>
          <w:rFonts w:ascii="方正仿宋_GBK" w:hint="eastAsia"/>
          <w:kern w:val="0"/>
        </w:rPr>
        <w:t>公积金最高贷款额度上调至60万元/人、120万元/户；硕士研究生或高级职称以上的在职人员额度上调至120万元/人、240万元/户，全日制本科学历且毕业10年内的在职人员额度上调至90万</w:t>
      </w:r>
      <w:r>
        <w:rPr>
          <w:rFonts w:ascii="方正仿宋_GBK" w:hint="eastAsia"/>
          <w:kern w:val="0"/>
          <w:lang w:val="en-US" w:eastAsia="zh-CN"/>
          <w:highlight w:val="auto"/>
        </w:rPr>
        <w:t>元</w:t>
      </w:r>
      <w:r>
        <w:rPr>
          <w:rFonts w:ascii="方正仿宋_GBK" w:hint="eastAsia"/>
          <w:kern w:val="0"/>
        </w:rPr>
        <w:t>/人、180万元/户。二孩、三孩家庭在其可贷额度的基础上另行增加20万元/户、30万元/户。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方正仿宋_GBK"/>
          <w:kern w:val="0"/>
        </w:rPr>
      </w:pPr>
      <w:r>
        <w:rPr>
          <w:rFonts w:ascii="方正黑体_GBK" w:eastAsia="方正黑体_GBK"/>
          <w:kern w:val="0"/>
        </w:rPr>
        <w:t>五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加大人才支持力度。</w:t>
      </w:r>
      <w:r>
        <w:rPr>
          <w:rFonts w:ascii="方正仿宋_GBK" w:hint="eastAsia"/>
          <w:kern w:val="0"/>
        </w:rPr>
        <w:t>市区（</w:t>
      </w:r>
      <w:r>
        <w:rPr>
          <w:rFonts w:ascii="方正楷体_GBK" w:eastAsia="方正楷体_GBK" w:hint="eastAsia"/>
          <w:kern w:val="0"/>
        </w:rPr>
        <w:t>崇川区、通州区、海门区、南通经济技术开发区、苏锡通园区、通州湾示范区，下同</w:t>
      </w:r>
      <w:r>
        <w:rPr>
          <w:rFonts w:ascii="方正仿宋_GBK" w:hint="eastAsia"/>
          <w:kern w:val="0"/>
        </w:rPr>
        <w:t>）符合人才引进政策的硕士、博士、江海人才、双创人才、国家级人才、院士等在市区购房自住的，分别给予15万元、30万元、40万元、60万元、100万元、150万元购房补贴。2024年4月1日至2025年6月30日期间，具有全日制本科及以上学历或技师及以上国家职业资格（职业技能等级）且首次来市区就业并连续缴纳社会保险3个月以上人员购买市区新建商品住房的，以及社会主体一次性团购3套及以上市区新建商品住房用于解决职工住房的，给予购房款总额2%的购房补贴。对在市区就业青年人才提供“三联四帮”保姆式购房服务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方正仿宋_GBK"/>
          <w:kern w:val="0"/>
        </w:rPr>
      </w:pPr>
      <w:r>
        <w:rPr>
          <w:rFonts w:ascii="方正黑体_GBK" w:eastAsia="方正黑体_GBK"/>
          <w:kern w:val="0"/>
        </w:rPr>
        <w:t>六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推进改善型住宅建设。</w:t>
      </w:r>
      <w:r>
        <w:rPr>
          <w:rFonts w:ascii="方正仿宋_GBK" w:hint="eastAsia"/>
          <w:kern w:val="0"/>
        </w:rPr>
        <w:t>优化商品住房用地供应结构，合理科学控制供地节奏，加大核心区域、优质地块供应；优化小区配套公共基础设施，以及底层架空、挑空空间、飘窗、露台、退台等空间指标计算规则。支持房企通过入股、合资等方式合作开发改善型住宅。在城市郊区不具备公共交通条件但景观、区位等条件较好的区域，以及国土空间规划确定的历史城区等，停止执行容积率不得低于1.0的供地标准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</w:rPr>
      </w:pPr>
      <w:r>
        <w:rPr>
          <w:rFonts w:ascii="方正黑体_GBK" w:eastAsia="方正黑体_GBK"/>
          <w:kern w:val="0"/>
        </w:rPr>
        <w:t>七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完善</w:t>
      </w:r>
      <w:r>
        <w:rPr>
          <w:rFonts w:ascii="方正黑体_GBK" w:eastAsia="方正黑体_GBK" w:hint="eastAsia"/>
          <w:kern w:val="0"/>
        </w:rPr>
        <w:t>“</w:t>
      </w:r>
      <w:r>
        <w:rPr>
          <w:rFonts w:ascii="方正黑体_GBK" w:eastAsia="方正黑体_GBK"/>
          <w:kern w:val="0"/>
        </w:rPr>
        <w:t>市场+保障</w:t>
      </w:r>
      <w:r>
        <w:rPr>
          <w:rFonts w:ascii="方正黑体_GBK" w:eastAsia="方正黑体_GBK" w:hint="eastAsia"/>
          <w:kern w:val="0"/>
        </w:rPr>
        <w:t>”</w:t>
      </w:r>
      <w:r>
        <w:rPr>
          <w:rFonts w:ascii="方正黑体_GBK" w:eastAsia="方正黑体_GBK"/>
          <w:kern w:val="0"/>
        </w:rPr>
        <w:t>住房体系。</w:t>
      </w:r>
      <w:r>
        <w:rPr>
          <w:rFonts w:ascii="Times New Roman" w:hAnsi="Times New Roman"/>
          <w:kern w:val="0"/>
        </w:rPr>
        <w:t>坚持</w:t>
      </w:r>
      <w:r>
        <w:rPr>
          <w:rFonts w:ascii="Times New Roman" w:hAnsi="Times New Roman" w:hint="eastAsia"/>
          <w:kern w:val="0"/>
        </w:rPr>
        <w:t>“</w:t>
      </w:r>
      <w:r>
        <w:rPr>
          <w:rFonts w:ascii="Times New Roman" w:hAnsi="Times New Roman"/>
          <w:kern w:val="0"/>
        </w:rPr>
        <w:t>以需定购</w:t>
      </w:r>
      <w:r>
        <w:rPr>
          <w:rFonts w:ascii="Times New Roman" w:hAnsi="Times New Roman" w:hint="eastAsia"/>
          <w:kern w:val="0"/>
        </w:rPr>
        <w:t>”</w:t>
      </w:r>
      <w:r>
        <w:rPr>
          <w:rFonts w:ascii="Times New Roman" w:hAnsi="Times New Roman"/>
          <w:kern w:val="0"/>
        </w:rPr>
        <w:t>，支持地方国有企业以合理价格收购新建商品住房用作保障类住房，打造保障类住房租购平台。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</w:rPr>
      </w:pPr>
      <w:r>
        <w:rPr>
          <w:rFonts w:ascii="方正黑体_GBK" w:eastAsia="方正黑体_GBK"/>
          <w:kern w:val="0"/>
        </w:rPr>
        <w:t>八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提升助企便民服务。</w:t>
      </w:r>
      <w:r>
        <w:rPr>
          <w:rFonts w:ascii="方正仿宋_GBK" w:hint="eastAsia"/>
          <w:kern w:val="0"/>
        </w:rPr>
        <w:t>主城区范围内允许企业按栋申请办理预售许可，支持车位、车库与住宅同步预售。适当拉长土地出让金付款时限，普通商品住房用地出让金1个月内付清总额的50%，余款最晚可延长至1年内付清。实施新建商品住房网签备案和预告登记同步办理，推动商品房项目“交房即发证”、购房群众“收房即领证”范围全覆盖。建立集房屋销售与交易、信息查询、政策宣传等于一体的房地产交易平台，为购房群众和企业提供一站式交易服务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</w:rPr>
      </w:pPr>
      <w:r>
        <w:rPr>
          <w:rFonts w:ascii="方正黑体_GBK" w:eastAsia="方正黑体_GBK"/>
          <w:kern w:val="0"/>
        </w:rPr>
        <w:t>九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切实做好保交房工作。</w:t>
      </w:r>
      <w:r>
        <w:rPr>
          <w:rFonts w:ascii="Times New Roman" w:hAnsi="Times New Roman"/>
          <w:kern w:val="0"/>
        </w:rPr>
        <w:t>持续发挥房地产融资协调机制作用，精准指导和帮助企业完善申报条件，积极争取更多项目纳入</w:t>
      </w:r>
      <w:r>
        <w:rPr>
          <w:rFonts w:ascii="Times New Roman" w:hAnsi="Times New Roman" w:hint="eastAsia"/>
          <w:kern w:val="0"/>
        </w:rPr>
        <w:t>“</w:t>
      </w:r>
      <w:r>
        <w:rPr>
          <w:rFonts w:ascii="Times New Roman" w:hAnsi="Times New Roman"/>
          <w:kern w:val="0"/>
        </w:rPr>
        <w:t>白名单</w:t>
      </w:r>
      <w:r>
        <w:rPr>
          <w:rFonts w:ascii="Times New Roman" w:hAnsi="Times New Roman" w:hint="eastAsia"/>
          <w:kern w:val="0"/>
        </w:rPr>
        <w:t>”</w:t>
      </w:r>
      <w:r>
        <w:rPr>
          <w:rFonts w:ascii="Times New Roman" w:hAnsi="Times New Roman"/>
          <w:kern w:val="0"/>
        </w:rPr>
        <w:t>。加强在建已售未交付商品住房项目的分类监管和处置，进一步规范商品房预售资金监督管理，维护购房人合法权益。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ascii="Times New Roman" w:hAnsi="Times New Roman"/>
          <w:kern w:val="0"/>
        </w:rPr>
      </w:pPr>
      <w:r>
        <w:rPr>
          <w:rFonts w:ascii="方正黑体_GBK" w:eastAsia="方正黑体_GBK"/>
          <w:kern w:val="0"/>
        </w:rPr>
        <w:t>十</w:t>
      </w:r>
      <w:r>
        <w:rPr>
          <w:rFonts w:ascii="方正黑体_GBK" w:eastAsia="方正黑体_GBK" w:hint="eastAsia"/>
          <w:kern w:val="0"/>
        </w:rPr>
        <w:t>、</w:t>
      </w:r>
      <w:r>
        <w:rPr>
          <w:rFonts w:ascii="方正黑体_GBK" w:eastAsia="方正黑体_GBK"/>
          <w:kern w:val="0"/>
        </w:rPr>
        <w:t>营造良好市场氛围。</w:t>
      </w:r>
      <w:r>
        <w:rPr>
          <w:rFonts w:ascii="Times New Roman" w:hAnsi="Times New Roman"/>
          <w:kern w:val="0"/>
        </w:rPr>
        <w:t>深入宣传解读好房地产政策，鼓励开发企业提供优质楼盘入驻房源超市，参加住房</w:t>
      </w:r>
      <w:r>
        <w:rPr>
          <w:rFonts w:ascii="Times New Roman" w:hAnsi="Times New Roman" w:hint="eastAsia"/>
          <w:kern w:val="0"/>
        </w:rPr>
        <w:t>“</w:t>
      </w:r>
      <w:r>
        <w:rPr>
          <w:rFonts w:ascii="Times New Roman" w:hAnsi="Times New Roman"/>
          <w:kern w:val="0"/>
        </w:rPr>
        <w:t>以旧换新</w:t>
      </w:r>
      <w:r>
        <w:rPr>
          <w:rFonts w:ascii="Times New Roman" w:hAnsi="Times New Roman" w:hint="eastAsia"/>
          <w:kern w:val="0"/>
        </w:rPr>
        <w:t>”</w:t>
      </w:r>
      <w:r>
        <w:rPr>
          <w:rFonts w:ascii="Times New Roman" w:hAnsi="Times New Roman"/>
          <w:kern w:val="0"/>
        </w:rPr>
        <w:t>等活动，加大优惠让利力度。加大房地产领域违法违规行为整治力度，切实维护房地产市场各类主体合法权益。</w:t>
      </w:r>
    </w:p>
    <w:p>
      <w:pPr>
        <w:autoSpaceDE w:val="0"/>
        <w:autoSpaceDN w:val="0"/>
        <w:snapToGrid w:val="0"/>
        <w:spacing w:line="560" w:lineRule="exact"/>
        <w:ind w:firstLineChars="200" w:firstLine="632"/>
        <w:rPr>
          <w:rFonts w:eastAsia="宋体"/>
          <w:w w:val="80"/>
        </w:rPr>
      </w:pPr>
      <w:r>
        <w:rPr>
          <w:rFonts w:ascii="Times New Roman" w:hAnsi="Times New Roman"/>
          <w:kern w:val="0"/>
        </w:rPr>
        <w:t>本文件实施细则由相关部门制定。</w:t>
      </w:r>
    </w:p>
    <w:p>
      <w:pPr>
        <w:snapToGrid w:val="0"/>
        <w:spacing w:line="560" w:lineRule="exact"/>
        <w:jc w:val="left"/>
        <w:rPr>
          <w:rFonts w:eastAsia="宋体"/>
          <w:w w:val="80"/>
        </w:rPr>
      </w:pPr>
    </w:p>
    <w:p>
      <w:pPr>
        <w:spacing w:line="560" w:lineRule="exact"/>
        <w:rPr>
          <w:rFonts w:ascii="方正仿宋_GBK"/>
          <w:kern w:val="32"/>
        </w:rPr>
      </w:pPr>
    </w:p>
    <w:p>
      <w:pPr>
        <w:spacing w:line="560" w:lineRule="exact"/>
        <w:ind w:firstLineChars="800" w:firstLine="2527"/>
        <w:rPr>
          <w:rFonts w:ascii="方正仿宋_GBK"/>
          <w:kern w:val="32"/>
        </w:rPr>
      </w:pPr>
      <w:r>
        <w:rPr>
          <w:rFonts w:ascii="方正仿宋_GBK" w:hint="eastAsia"/>
          <w:kern w:val="32"/>
        </w:rPr>
        <w:t>南通市房地产市场平稳健康发展领导小组</w:t>
      </w:r>
    </w:p>
    <w:p>
      <w:pPr>
        <w:snapToGrid w:val="0"/>
        <w:spacing w:line="560" w:lineRule="exact"/>
        <w:ind w:firstLineChars="1300" w:firstLine="4107"/>
        <w:jc w:val="left"/>
        <w:rPr>
          <w:rFonts w:ascii="方正仿宋_GBK"/>
          <w:kern w:val="32"/>
        </w:rPr>
      </w:pPr>
      <w:r>
        <w:rPr>
          <w:rFonts w:ascii="方正仿宋_GBK" w:hint="eastAsia"/>
          <w:kern w:val="32"/>
        </w:rPr>
        <w:t>2024年6月</w:t>
      </w:r>
      <w:r>
        <w:rPr>
          <w:rFonts w:ascii="方正仿宋_GBK" w:hint="eastAsia"/>
          <w:kern w:val="32"/>
          <w:lang w:val="en-US" w:eastAsia="zh-CN"/>
        </w:rPr>
        <w:t>21</w:t>
      </w:r>
      <w:r>
        <w:rPr>
          <w:rFonts w:ascii="方正仿宋_GBK" w:hint="eastAsia"/>
          <w:kern w:val="32"/>
        </w:rPr>
        <w:t>日</w:t>
      </w:r>
    </w:p>
    <w:p>
      <w:pPr>
        <w:snapToGrid w:val="0"/>
        <w:spacing w:line="590" w:lineRule="exact"/>
        <w:ind w:firstLineChars="1300" w:firstLine="4107"/>
        <w:jc w:val="left"/>
        <w:rPr>
          <w:kern w:val="32"/>
        </w:rPr>
      </w:pPr>
    </w:p>
    <w:p>
      <w:pPr>
        <w:snapToGrid w:val="0"/>
        <w:spacing w:line="590" w:lineRule="exact"/>
        <w:ind w:firstLineChars="1300" w:firstLine="4107"/>
        <w:jc w:val="left"/>
        <w:rPr>
          <w:kern w:val="32"/>
        </w:rPr>
      </w:pPr>
    </w:p>
    <w:p>
      <w:pPr>
        <w:snapToGrid w:val="0"/>
        <w:spacing w:line="590" w:lineRule="exact"/>
        <w:ind w:firstLineChars="1300" w:firstLine="4107"/>
        <w:jc w:val="left"/>
        <w:rPr>
          <w:kern w:val="32"/>
        </w:rPr>
      </w:pPr>
    </w:p>
    <w:p>
      <w:pPr>
        <w:adjustRightInd w:val="0"/>
        <w:snapToGrid w:val="0"/>
        <w:spacing w:line="700" w:lineRule="atLeast"/>
        <w:ind w:firstLineChars="100" w:firstLine="276"/>
        <w:textAlignment w:val="baseline"/>
        <w:rPr>
          <w:rFonts w:ascii="方正仿宋_GBK" w:cs="方正仿宋_GBK"/>
          <w:sz w:val="28"/>
          <w:szCs w:val="28"/>
        </w:rPr>
      </w:pPr>
    </w:p>
    <w:p>
      <w:pPr>
        <w:adjustRightInd w:val="0"/>
        <w:snapToGrid w:val="0"/>
        <w:spacing w:line="700" w:lineRule="atLeast"/>
        <w:ind w:firstLineChars="100" w:firstLine="276"/>
        <w:textAlignment w:val="baseline"/>
        <w:rPr>
          <w:rFonts w:ascii="方正仿宋_GBK" w:cs="方正仿宋_GBK"/>
          <w:sz w:val="28"/>
          <w:szCs w:val="28"/>
        </w:rPr>
      </w:pPr>
    </w:p>
    <w:p>
      <w:pPr>
        <w:adjustRightInd w:val="0"/>
        <w:snapToGrid w:val="0"/>
        <w:spacing w:line="700" w:lineRule="atLeast"/>
        <w:ind w:firstLineChars="100" w:firstLine="276"/>
        <w:textAlignment w:val="baseline"/>
        <w:rPr>
          <w:rFonts w:ascii="方正仿宋_GBK" w:cs="方正仿宋_GBK"/>
          <w:sz w:val="28"/>
          <w:szCs w:val="28"/>
        </w:rPr>
      </w:pPr>
    </w:p>
    <w:p>
      <w:pPr>
        <w:adjustRightInd w:val="0"/>
        <w:snapToGrid w:val="0"/>
        <w:spacing w:line="700" w:lineRule="atLeast"/>
        <w:ind w:firstLineChars="100" w:firstLine="276"/>
        <w:textAlignment w:val="baseline"/>
        <w:rPr>
          <w:rFonts w:ascii="方正仿宋_GBK" w:cs="方正仿宋_GBK"/>
          <w:sz w:val="28"/>
          <w:szCs w:val="28"/>
        </w:rPr>
      </w:pPr>
    </w:p>
    <w:p>
      <w:pPr>
        <w:adjustRightInd w:val="0"/>
        <w:snapToGrid w:val="0"/>
        <w:spacing w:line="700" w:lineRule="atLeast"/>
        <w:ind w:firstLineChars="100" w:firstLine="256"/>
        <w:textAlignment w:val="baseline"/>
        <w:rPr>
          <w:rFonts w:ascii="方正仿宋_GBK"/>
          <w:spacing w:val="-10"/>
          <w:kern w:val="0"/>
          <w:sz w:val="28"/>
          <w:szCs w:val="28"/>
        </w:rPr>
      </w:pPr>
      <w:r>
        <w:rPr>
          <w:rFonts w:ascii="方正仿宋_GBK" w:hint="eastAsia"/>
          <w:spacing w:val="-10"/>
          <w:kern w:val="0"/>
          <w:sz w:val="28"/>
          <w:szCs w:val="28"/>
        </w:rPr>
        <w:t>南通市房地产市场平稳健康发展领导小组办公室</w:t>
      </w:r>
      <w:r>
        <w:rPr>
          <w:rFonts w:ascii="方正仿宋_GBK" w:hint="eastAsia"/>
          <w:kern w:val="0"/>
          <w:sz w:val="28"/>
          <w:szCs w:val="28"/>
        </w:rPr>
        <w:t xml:space="preserve">  2024年6月</w:t>
      </w:r>
      <w:r>
        <w:rPr>
          <w:rFonts w:ascii="方正仿宋_GBK" w:hint="eastAsia"/>
          <w:kern w:val="0"/>
          <w:sz w:val="28"/>
          <w:szCs w:val="28"/>
          <w:lang w:val="en-US" w:eastAsia="zh-CN"/>
        </w:rPr>
        <w:t>21</w:t>
      </w:r>
      <w:r>
        <w:rPr>
          <w:rFonts w:ascii="方正仿宋_GBK" w:hint="eastAsia"/>
          <w:kern w:val="0"/>
          <w:sz w:val="28"/>
          <w:szCs w:val="28"/>
        </w:rPr>
        <w:t>日印发</w:t>
      </w:r>
    </w:p>
    <w:p>
      <w:pPr>
        <w:adjustRightInd w:val="0"/>
        <w:snapToGrid w:val="0"/>
        <w:spacing w:line="20" w:lineRule="exact"/>
        <w:ind w:firstLineChars="100" w:firstLine="316"/>
        <w:textAlignment w:val="baseline"/>
        <w:rPr>
          <w:rFonts w:ascii="方正仿宋_GBK"/>
          <w:kern w:val="0"/>
          <w:szCs w:val="20"/>
        </w:rPr>
      </w:pPr>
      <w:r>
        <w:rPr>
          <w:rFonts w:ascii="方正仿宋_GBK"/>
          <w:kern w:val="0"/>
          <w:szCs w:val="20"/>
        </w:rPr>
        <mc:AlternateContent>
          <mc:Choice Requires="wps">
            <w:drawing>
              <wp:anchor distT="0" distB="0" distL="114298" distR="114298" simplePos="0" relativeHeight="22" behindDoc="0" locked="1" layoutInCell="0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64770</wp:posOffset>
                </wp:positionV>
                <wp:extent cx="5658484" cy="952"/>
                <wp:effectExtent l="0" t="0" r="0" b="0"/>
                <wp:wrapNone/>
                <wp:docPr id="9" name="_x0000_s102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58484" cy="952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_x0000_s1028 10" o:spid="_x0000_s10" from="-2.95pt,5.1pt" to="442.59998pt,5.1749988pt" filled="f" stroked="t" strokeweight="1.0pt" o:allowincell="f" style="position:absolute;z-index:22;mso-position-horizontal:absolute;mso-position-vertical:absolute;mso-wrap-distance-left:8.999863pt;mso-wrap-distance-right:8.999863pt;visibility:visible;">
                <v:stroke color="#000000"/>
                <w10:anchorLock/>
              </v:line>
            </w:pict>
          </mc:Fallback>
        </mc:AlternateContent>
      </w:r>
    </w:p>
    <w:p>
      <w:pPr>
        <w:adjustRightInd w:val="0"/>
        <w:spacing w:line="20" w:lineRule="exact"/>
        <w:textAlignment w:val="baseline"/>
        <w:rPr>
          <w:rFonts w:ascii="方正仿宋_GBK"/>
          <w:kern w:val="0"/>
          <w:szCs w:val="20"/>
        </w:rPr>
      </w:pPr>
      <w:r>
        <w:rPr>
          <w:rFonts w:ascii="方正仿宋_GBK"/>
          <w:kern w:val="0"/>
          <w:szCs w:val="20"/>
        </w:rPr>
        <mc:AlternateContent>
          <mc:Choice Requires="wps">
            <w:drawing>
              <wp:anchor distT="0" distB="0" distL="114298" distR="114298" simplePos="0" relativeHeight="24" behindDoc="0" locked="1" layoutInCell="0" hidden="0" allowOverlap="1">
                <wp:simplePos x="0" y="0"/>
                <wp:positionH relativeFrom="column">
                  <wp:posOffset>-56514</wp:posOffset>
                </wp:positionH>
                <wp:positionV relativeFrom="paragraph">
                  <wp:posOffset>-426720</wp:posOffset>
                </wp:positionV>
                <wp:extent cx="5658484" cy="952"/>
                <wp:effectExtent l="0" t="0" r="0" b="0"/>
                <wp:wrapNone/>
                <wp:docPr id="11" name="_x0000_s10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58484" cy="952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_x0000_s1027 12" o:spid="_x0000_s12" from="-4.45pt,-33.6pt" to="441.09998pt,-33.525pt" filled="f" stroked="t" o:allowincell="f" style="position:absolute;z-index:24;mso-position-horizontal:absolute;mso-position-vertical:absolute;mso-wrap-distance-left:8.999863pt;mso-wrap-distance-right:8.999863pt;visibility:visible;">
                <v:stroke color="#000000"/>
                <w10:anchorLock/>
              </v:line>
            </w:pict>
          </mc:Fallback>
        </mc:AlternateContent>
      </w:r>
    </w:p>
    <w:p>
      <w:pPr>
        <w:adjustRightInd w:val="0"/>
        <w:spacing w:line="20" w:lineRule="exact"/>
        <w:textAlignment w:val="baseline"/>
        <w:rPr>
          <w:rFonts w:ascii="方正仿宋_GBK"/>
          <w:kern w:val="0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pgSz w:w="11906" w:h="16838"/>
      <w:pgMar w:top="2098" w:right="1474" w:bottom="1984" w:left="1587" w:header="851" w:footer="1417" w:gutter="0"/>
      <w:docGrid w:type="linesAndChars" w:linePitch="579" w:charSpace="-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variable"/>
    <w:sig w:usb0="800002BF" w:usb1="38CF7CFA" w:usb2="00000016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6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1" name="_x0000_s205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t>3</w:t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2050 3" o:spid="_x0000_s3" filled="f" stroked="f" style="position:absolute;margin-left:0.0pt;margin-top:0.0pt;width:49.000004pt;height:16.113997pt;z-index:16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t>3</w:t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eastAsia="宋体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8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4" name="_x0000_s204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2049 6" o:spid="_x0000_s6" filled="f" stroked="f" style="position:absolute;margin-left:0.0pt;margin-top:0.0pt;width:49.000004pt;height:16.113997pt;z-index:18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ocumentProtection w:edit="readOnly" w:enforcement="0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NTY5MDU2OTZkYmQxMDJkNWZmMmI1ZGMzMjJiZjAzY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方正仿宋_GBK" w:cs="Times New Roman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560" w:lineRule="exact"/>
      <w:ind w:firstLineChars="200" w:firstLine="200"/>
      <w:outlineLvl w:val="1"/>
    </w:pPr>
    <w:rPr>
      <w:rFonts w:ascii="Arial" w:eastAsia="方正黑体_GBK" w:hAnsi="Arial"/>
    </w:rPr>
  </w:style>
  <w:style w:type="paragraph" w:styleId="3">
    <w:name w:val="heading 3"/>
    <w:basedOn w:val="0"/>
    <w:next w:val="0"/>
    <w:pPr>
      <w:keepNext/>
      <w:keepLines/>
      <w:widowControl w:val="0"/>
      <w:spacing w:line="560" w:lineRule="exact"/>
      <w:outlineLvl w:val="2"/>
    </w:pPr>
    <w:rPr>
      <w:rFonts w:eastAsia="方正楷体_GBK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9">
    <w:name w:val="标题1"/>
    <w:basedOn w:val="0"/>
    <w:next w:val="0"/>
    <w:pPr>
      <w:tabs>
        <w:tab w:val="left" w:pos="9193"/>
        <w:tab w:val="left" w:pos="9827"/>
      </w:tabs>
      <w:spacing w:line="700" w:lineRule="atLeast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1</Pages>
  <Words>0</Words>
  <Characters>0</Characters>
  <Lines>1</Lines>
  <Paragraphs>0</Paragraphs>
  <CharactersWithSpaces>0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荣飞</dc:creator>
  <cp:lastModifiedBy>kylin</cp:lastModifiedBy>
  <cp:revision>3</cp:revision>
  <cp:lastPrinted>2024-06-19T01:50:00Z</cp:lastPrinted>
  <dcterms:created xsi:type="dcterms:W3CDTF">2024-06-21T03:48:00Z</dcterms:created>
  <dcterms:modified xsi:type="dcterms:W3CDTF">2024-06-24T08:34:14Z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2052-12.1.0.17133</vt:lpwstr>
  </property>
  <property fmtid="{D5CDD505-2E9C-101B-9397-08002B2CF9AE}" pid="3" name="ICV">
    <vt:lpwstr>012DA2C87EAD4746BEE358A65D43D54C_11</vt:lpwstr>
  </property>
</Properties>
</file>