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pacing w:line="578" w:lineRule="exact"/>
        <w:jc w:val="center"/>
        <w:rPr>
          <w:rFonts w:hint="eastAsia" w:ascii="方正小标宋_GBK" w:hAnsi="方正小标宋_GBK" w:eastAsia="方正小标宋_GBK" w:cs="方正小标宋_GBK"/>
          <w:b w:val="0"/>
          <w:bCs w:val="0"/>
          <w:color w:val="000000"/>
          <w:kern w:val="0"/>
          <w:sz w:val="44"/>
          <w:szCs w:val="44"/>
        </w:rPr>
      </w:pPr>
      <w:r>
        <w:rPr>
          <w:rFonts w:hint="eastAsia" w:ascii="方正小标宋_GBK" w:hAnsi="方正小标宋_GBK" w:eastAsia="方正小标宋_GBK" w:cs="方正小标宋_GBK"/>
          <w:b w:val="0"/>
          <w:bCs w:val="0"/>
          <w:color w:val="000000"/>
          <w:kern w:val="0"/>
          <w:sz w:val="44"/>
          <w:szCs w:val="44"/>
        </w:rPr>
        <w:t>南</w:t>
      </w:r>
      <w:r>
        <w:rPr>
          <w:rFonts w:hint="eastAsia" w:ascii="方正小标宋_GBK" w:hAnsi="方正小标宋_GBK" w:eastAsia="方正小标宋_GBK" w:cs="方正小标宋_GBK"/>
          <w:b w:val="0"/>
          <w:bCs w:val="0"/>
          <w:color w:val="000000"/>
          <w:kern w:val="0"/>
          <w:sz w:val="44"/>
          <w:szCs w:val="44"/>
          <w:lang w:val="en-US" w:eastAsia="zh-CN"/>
        </w:rPr>
        <w:t>通</w:t>
      </w:r>
      <w:r>
        <w:rPr>
          <w:rFonts w:hint="eastAsia" w:ascii="方正小标宋_GBK" w:hAnsi="方正小标宋_GBK" w:eastAsia="方正小标宋_GBK" w:cs="方正小标宋_GBK"/>
          <w:b w:val="0"/>
          <w:bCs w:val="0"/>
          <w:color w:val="000000"/>
          <w:kern w:val="0"/>
          <w:sz w:val="44"/>
          <w:szCs w:val="44"/>
        </w:rPr>
        <w:t>市</w:t>
      </w:r>
      <w:r>
        <w:rPr>
          <w:rFonts w:hint="eastAsia" w:ascii="方正小标宋_GBK" w:hAnsi="方正小标宋_GBK" w:eastAsia="方正小标宋_GBK" w:cs="方正小标宋_GBK"/>
          <w:b w:val="0"/>
          <w:bCs w:val="0"/>
          <w:sz w:val="44"/>
          <w:szCs w:val="44"/>
        </w:rPr>
        <w:t>物业服务</w:t>
      </w:r>
      <w:r>
        <w:rPr>
          <w:rFonts w:hint="eastAsia" w:ascii="方正小标宋_GBK" w:hAnsi="方正小标宋_GBK" w:eastAsia="方正小标宋_GBK" w:cs="方正小标宋_GBK"/>
          <w:b w:val="0"/>
          <w:bCs w:val="0"/>
          <w:sz w:val="44"/>
          <w:szCs w:val="44"/>
          <w:lang w:eastAsia="zh-CN"/>
        </w:rPr>
        <w:t>第三方评估</w:t>
      </w:r>
      <w:r>
        <w:rPr>
          <w:rFonts w:hint="eastAsia" w:ascii="方正小标宋_GBK" w:hAnsi="方正小标宋_GBK" w:eastAsia="方正小标宋_GBK" w:cs="方正小标宋_GBK"/>
          <w:b w:val="0"/>
          <w:bCs w:val="0"/>
          <w:color w:val="000000"/>
          <w:kern w:val="0"/>
          <w:sz w:val="44"/>
          <w:szCs w:val="44"/>
        </w:rPr>
        <w:t>管理暂行办法</w:t>
      </w:r>
    </w:p>
    <w:p>
      <w:pPr>
        <w:keepNext w:val="0"/>
        <w:keepLines w:val="0"/>
        <w:pageBreakBefore w:val="0"/>
        <w:widowControl/>
        <w:kinsoku/>
        <w:wordWrap/>
        <w:overflowPunct/>
        <w:topLinePunct w:val="0"/>
        <w:autoSpaceDE/>
        <w:autoSpaceDN/>
        <w:bidi w:val="0"/>
        <w:spacing w:line="578" w:lineRule="exact"/>
        <w:jc w:val="center"/>
        <w:rPr>
          <w:rFonts w:hint="eastAsia" w:ascii="楷体" w:hAnsi="楷体" w:eastAsia="楷体" w:cs="楷体"/>
          <w:b w:val="0"/>
          <w:bCs w:val="0"/>
          <w:color w:val="000000"/>
          <w:kern w:val="0"/>
          <w:sz w:val="32"/>
          <w:szCs w:val="32"/>
        </w:rPr>
      </w:pPr>
      <w:r>
        <w:rPr>
          <w:rFonts w:hint="eastAsia" w:ascii="楷体" w:hAnsi="楷体" w:eastAsia="楷体" w:cs="楷体"/>
          <w:b w:val="0"/>
          <w:bCs w:val="0"/>
          <w:color w:val="000000"/>
          <w:kern w:val="0"/>
          <w:sz w:val="32"/>
          <w:szCs w:val="32"/>
        </w:rPr>
        <w:t>（征求意见稿）</w:t>
      </w:r>
    </w:p>
    <w:p>
      <w:pPr>
        <w:keepNext w:val="0"/>
        <w:keepLines w:val="0"/>
        <w:pageBreakBefore w:val="0"/>
        <w:widowControl/>
        <w:kinsoku/>
        <w:wordWrap/>
        <w:overflowPunct/>
        <w:topLinePunct w:val="0"/>
        <w:autoSpaceDE/>
        <w:autoSpaceDN/>
        <w:bidi w:val="0"/>
        <w:spacing w:line="578" w:lineRule="exact"/>
        <w:jc w:val="center"/>
        <w:rPr>
          <w:rFonts w:hint="eastAsia" w:ascii="方正小标宋_GBK" w:hAnsi="方正小标宋_GBK" w:eastAsia="方正小标宋_GBK" w:cs="方正小标宋_GBK"/>
          <w:b w:val="0"/>
          <w:bCs w:val="0"/>
          <w:color w:val="000000"/>
          <w:kern w:val="0"/>
          <w:sz w:val="44"/>
          <w:szCs w:val="44"/>
        </w:rPr>
      </w:pPr>
    </w:p>
    <w:p>
      <w:pPr>
        <w:keepNext w:val="0"/>
        <w:keepLines w:val="0"/>
        <w:pageBreakBefore w:val="0"/>
        <w:widowControl/>
        <w:kinsoku/>
        <w:wordWrap/>
        <w:overflowPunct/>
        <w:topLinePunct w:val="0"/>
        <w:autoSpaceDE/>
        <w:autoSpaceDN/>
        <w:bidi w:val="0"/>
        <w:spacing w:line="578" w:lineRule="exact"/>
        <w:jc w:val="center"/>
        <w:rPr>
          <w:rFonts w:hint="eastAsia" w:ascii="黑体" w:hAnsi="黑体" w:eastAsia="黑体" w:cs="黑体"/>
          <w:b w:val="0"/>
          <w:bCs w:val="0"/>
          <w:color w:val="000000"/>
          <w:kern w:val="0"/>
          <w:sz w:val="36"/>
          <w:szCs w:val="36"/>
        </w:rPr>
      </w:pPr>
      <w:r>
        <w:rPr>
          <w:rFonts w:hint="eastAsia" w:ascii="黑体" w:hAnsi="黑体" w:eastAsia="黑体" w:cs="黑体"/>
          <w:b w:val="0"/>
          <w:bCs w:val="0"/>
          <w:color w:val="000000"/>
          <w:kern w:val="0"/>
          <w:sz w:val="36"/>
          <w:szCs w:val="36"/>
        </w:rPr>
        <w:t>第一章 总则</w:t>
      </w:r>
    </w:p>
    <w:p>
      <w:pPr>
        <w:keepNext w:val="0"/>
        <w:keepLines w:val="0"/>
        <w:pageBreakBefore w:val="0"/>
        <w:widowControl/>
        <w:kinsoku/>
        <w:wordWrap/>
        <w:overflowPunct/>
        <w:topLinePunct w:val="0"/>
        <w:autoSpaceDE/>
        <w:autoSpaceDN/>
        <w:bidi w:val="0"/>
        <w:spacing w:line="578" w:lineRule="exact"/>
        <w:jc w:val="both"/>
        <w:rPr>
          <w:rFonts w:hint="eastAsia" w:ascii="黑体" w:hAnsi="黑体" w:eastAsia="黑体" w:cs="黑体"/>
          <w:b w:val="0"/>
          <w:bCs w:val="0"/>
          <w:color w:val="000000"/>
          <w:kern w:val="0"/>
        </w:rPr>
      </w:pP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 w:hAnsi="仿宋" w:eastAsia="仿宋" w:cs="仿宋"/>
          <w:color w:val="000000"/>
          <w:kern w:val="0"/>
        </w:rPr>
      </w:pPr>
      <w:r>
        <w:rPr>
          <w:rFonts w:hint="eastAsia" w:ascii="黑体" w:hAnsi="黑体" w:eastAsia="黑体" w:cs="黑体"/>
          <w:b w:val="0"/>
          <w:bCs w:val="0"/>
          <w:color w:val="000000"/>
          <w:kern w:val="0"/>
        </w:rPr>
        <w:t>第一条</w:t>
      </w:r>
      <w:r>
        <w:rPr>
          <w:rFonts w:hint="eastAsia" w:ascii="仿宋" w:hAnsi="仿宋" w:eastAsia="仿宋" w:cs="仿宋"/>
          <w:b/>
          <w:bCs/>
          <w:color w:val="000000"/>
          <w:kern w:val="0"/>
          <w:lang w:val="en-US" w:eastAsia="zh-CN"/>
        </w:rPr>
        <w:t xml:space="preserve">  </w:t>
      </w:r>
      <w:r>
        <w:rPr>
          <w:rFonts w:hint="eastAsia" w:ascii="仿宋_GB2312" w:hAnsi="仿宋_GB2312" w:eastAsia="仿宋_GB2312" w:cs="仿宋_GB2312"/>
        </w:rPr>
        <w:t>为维护业主、建设单位、物业服务企业的合法权益，建立和完善质价相符的物业服务市场机制，促进物业管理行业健康有序发展，</w:t>
      </w:r>
      <w:r>
        <w:rPr>
          <w:rFonts w:hint="eastAsia" w:ascii="仿宋_GB2312" w:hAnsi="仿宋_GB2312" w:eastAsia="仿宋_GB2312" w:cs="仿宋_GB2312"/>
          <w:color w:val="000000"/>
          <w:kern w:val="0"/>
        </w:rPr>
        <w:t>根据《南</w:t>
      </w:r>
      <w:r>
        <w:rPr>
          <w:rFonts w:hint="eastAsia" w:ascii="仿宋_GB2312" w:hAnsi="仿宋_GB2312" w:eastAsia="仿宋_GB2312" w:cs="仿宋_GB2312"/>
          <w:color w:val="000000"/>
          <w:kern w:val="0"/>
          <w:lang w:val="en-US" w:eastAsia="zh-CN"/>
        </w:rPr>
        <w:t>通</w:t>
      </w:r>
      <w:r>
        <w:rPr>
          <w:rFonts w:hint="eastAsia" w:ascii="仿宋_GB2312" w:hAnsi="仿宋_GB2312" w:eastAsia="仿宋_GB2312" w:cs="仿宋_GB2312"/>
          <w:color w:val="000000"/>
          <w:kern w:val="0"/>
        </w:rPr>
        <w:t>市住宅物业管理条例》等有关法律、法规，结合本市实际，制定本办法。</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黑体" w:hAnsi="黑体" w:eastAsia="黑体" w:cs="黑体"/>
          <w:b w:val="0"/>
          <w:bCs w:val="0"/>
          <w:color w:val="000000"/>
          <w:kern w:val="0"/>
        </w:rPr>
        <w:t>第二条</w:t>
      </w:r>
      <w:r>
        <w:rPr>
          <w:rFonts w:hint="eastAsia" w:ascii="仿宋" w:hAnsi="仿宋" w:eastAsia="仿宋" w:cs="仿宋"/>
          <w:b/>
          <w:bCs/>
          <w:color w:val="000000"/>
          <w:kern w:val="0"/>
          <w:lang w:val="en-US" w:eastAsia="zh-CN"/>
        </w:rPr>
        <w:t xml:space="preserve">  </w:t>
      </w:r>
      <w:r>
        <w:rPr>
          <w:rFonts w:hint="eastAsia" w:ascii="仿宋_GB2312" w:hAnsi="仿宋_GB2312" w:eastAsia="仿宋_GB2312" w:cs="仿宋_GB2312"/>
          <w:color w:val="000000"/>
          <w:kern w:val="0"/>
        </w:rPr>
        <w:t>本办法适用于本市行政区域内的物业服务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活动。</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本办法所称物业服务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，是指物业服务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机构接受业主自治组织、建设单位、物业服务企业</w:t>
      </w:r>
      <w:r>
        <w:rPr>
          <w:rFonts w:hint="eastAsia" w:ascii="仿宋_GB2312" w:hAnsi="仿宋_GB2312" w:eastAsia="仿宋_GB2312" w:cs="仿宋_GB2312"/>
          <w:color w:val="000000"/>
          <w:kern w:val="0"/>
          <w:lang w:eastAsia="zh-CN"/>
        </w:rPr>
        <w:t>及政府购买服务的</w:t>
      </w:r>
      <w:r>
        <w:rPr>
          <w:rFonts w:hint="eastAsia" w:ascii="仿宋_GB2312" w:hAnsi="仿宋_GB2312" w:eastAsia="仿宋_GB2312" w:cs="仿宋_GB2312"/>
          <w:color w:val="000000"/>
          <w:kern w:val="0"/>
        </w:rPr>
        <w:t>委托，依照法律、法规规定和合同约定，对物业项目</w:t>
      </w:r>
      <w:r>
        <w:rPr>
          <w:rFonts w:hint="eastAsia" w:ascii="仿宋_GB2312" w:hAnsi="仿宋_GB2312" w:eastAsia="仿宋_GB2312" w:cs="仿宋_GB2312"/>
          <w:color w:val="000000"/>
          <w:kern w:val="0"/>
          <w:lang w:eastAsia="zh-CN"/>
        </w:rPr>
        <w:t>交</w:t>
      </w:r>
      <w:r>
        <w:rPr>
          <w:rFonts w:hint="eastAsia" w:ascii="仿宋_GB2312" w:hAnsi="仿宋_GB2312" w:eastAsia="仿宋_GB2312" w:cs="仿宋_GB2312"/>
          <w:color w:val="000000"/>
          <w:kern w:val="0"/>
        </w:rPr>
        <w:t>接和查验、物业服务标准和费用测算、物业服务质量等提供专业评估服务</w:t>
      </w:r>
      <w:r>
        <w:rPr>
          <w:rFonts w:hint="eastAsia" w:ascii="仿宋_GB2312" w:hAnsi="仿宋_GB2312" w:eastAsia="仿宋_GB2312" w:cs="仿宋_GB2312"/>
          <w:color w:val="000000"/>
          <w:kern w:val="0"/>
          <w:lang w:eastAsia="zh-CN"/>
        </w:rPr>
        <w:t>的活动</w:t>
      </w:r>
      <w:r>
        <w:rPr>
          <w:rFonts w:hint="eastAsia" w:ascii="仿宋_GB2312" w:hAnsi="仿宋_GB2312" w:eastAsia="仿宋_GB2312" w:cs="仿宋_GB2312"/>
          <w:color w:val="000000"/>
          <w:kern w:val="0"/>
        </w:rPr>
        <w:t>。</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黑体" w:hAnsi="黑体" w:eastAsia="黑体" w:cs="黑体"/>
          <w:b w:val="0"/>
          <w:bCs w:val="0"/>
          <w:color w:val="000000"/>
          <w:kern w:val="0"/>
        </w:rPr>
        <w:t>第三条</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lang w:eastAsia="zh-CN"/>
        </w:rPr>
        <w:t>本市</w:t>
      </w:r>
      <w:r>
        <w:rPr>
          <w:rFonts w:hint="eastAsia" w:ascii="仿宋_GB2312" w:hAnsi="仿宋_GB2312" w:eastAsia="仿宋_GB2312" w:cs="仿宋_GB2312"/>
          <w:color w:val="000000"/>
          <w:kern w:val="0"/>
        </w:rPr>
        <w:t>积极培育物业服务独立第三方评估机构；鼓励物业服务各方权益主体在确定物业项目收费标准、物业项目</w:t>
      </w:r>
      <w:r>
        <w:rPr>
          <w:rFonts w:hint="eastAsia" w:ascii="仿宋_GB2312" w:hAnsi="仿宋_GB2312" w:eastAsia="仿宋_GB2312" w:cs="仿宋_GB2312"/>
          <w:color w:val="000000"/>
          <w:kern w:val="0"/>
          <w:lang w:eastAsia="zh-CN"/>
        </w:rPr>
        <w:t>交接和</w:t>
      </w:r>
      <w:r>
        <w:rPr>
          <w:rFonts w:hint="eastAsia" w:ascii="仿宋_GB2312" w:hAnsi="仿宋_GB2312" w:eastAsia="仿宋_GB2312" w:cs="仿宋_GB2312"/>
          <w:color w:val="000000"/>
          <w:kern w:val="0"/>
        </w:rPr>
        <w:t>查验等环节及物业服务全过程，委托评估机构进行评估。</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机构应当遵循</w:t>
      </w:r>
      <w:r>
        <w:rPr>
          <w:rFonts w:hint="eastAsia" w:ascii="仿宋_GB2312" w:hAnsi="仿宋_GB2312" w:eastAsia="仿宋_GB2312" w:cs="仿宋_GB2312"/>
          <w:color w:val="000000"/>
          <w:kern w:val="0"/>
          <w:lang w:eastAsia="zh-CN"/>
        </w:rPr>
        <w:t>独立、客观</w:t>
      </w:r>
      <w:r>
        <w:rPr>
          <w:rFonts w:hint="eastAsia" w:ascii="仿宋_GB2312" w:hAnsi="仿宋_GB2312" w:eastAsia="仿宋_GB2312" w:cs="仿宋_GB2312"/>
          <w:color w:val="000000"/>
          <w:kern w:val="0"/>
        </w:rPr>
        <w:t>、公正、诚信的原则，依照法律、法规和合同约定提供专业服务，出具的评估报告应当真实、客观、全面。</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黑体" w:hAnsi="黑体" w:eastAsia="黑体" w:cs="黑体"/>
          <w:b w:val="0"/>
          <w:bCs w:val="0"/>
          <w:color w:val="000000"/>
          <w:kern w:val="0"/>
        </w:rPr>
        <w:t>第四条</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lang w:eastAsia="zh-CN"/>
        </w:rPr>
        <w:t>市</w:t>
      </w:r>
      <w:r>
        <w:rPr>
          <w:rFonts w:hint="eastAsia" w:ascii="仿宋_GB2312" w:hAnsi="仿宋_GB2312" w:eastAsia="仿宋_GB2312" w:cs="仿宋_GB2312"/>
          <w:color w:val="000000"/>
          <w:kern w:val="0"/>
        </w:rPr>
        <w:t>物业管理行政主管部门负责全市物业服务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机构的统一监督管理，建立并公布本市物业服务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机构名录。</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lang w:eastAsia="zh-CN"/>
        </w:rPr>
        <w:t>县级</w:t>
      </w:r>
      <w:r>
        <w:rPr>
          <w:rFonts w:hint="eastAsia" w:ascii="仿宋_GB2312" w:hAnsi="仿宋_GB2312" w:eastAsia="仿宋_GB2312" w:cs="仿宋_GB2312"/>
          <w:color w:val="000000"/>
          <w:kern w:val="0"/>
        </w:rPr>
        <w:t>物业管理行政主管部门负责辖区内物业服务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机构的日常监督管理和相关矛盾协调。</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街道办事处（镇人民政府）按照规定职责负责辖区内物业服务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活动的指导、协助和监督工作。</w:t>
      </w:r>
    </w:p>
    <w:p>
      <w:pPr>
        <w:keepNext w:val="0"/>
        <w:keepLines w:val="0"/>
        <w:pageBreakBefore w:val="0"/>
        <w:widowControl/>
        <w:kinsoku/>
        <w:wordWrap/>
        <w:overflowPunct/>
        <w:topLinePunct w:val="0"/>
        <w:autoSpaceDE/>
        <w:autoSpaceDN/>
        <w:bidi w:val="0"/>
        <w:spacing w:line="578" w:lineRule="exact"/>
        <w:jc w:val="both"/>
        <w:rPr>
          <w:rFonts w:hint="eastAsia" w:ascii="仿宋" w:hAnsi="仿宋" w:eastAsia="仿宋" w:cs="仿宋"/>
          <w:b/>
          <w:bCs/>
          <w:color w:val="000000"/>
          <w:kern w:val="0"/>
        </w:rPr>
      </w:pPr>
    </w:p>
    <w:p>
      <w:pPr>
        <w:keepNext w:val="0"/>
        <w:keepLines w:val="0"/>
        <w:pageBreakBefore w:val="0"/>
        <w:widowControl/>
        <w:kinsoku/>
        <w:wordWrap/>
        <w:overflowPunct/>
        <w:topLinePunct w:val="0"/>
        <w:autoSpaceDE/>
        <w:autoSpaceDN/>
        <w:bidi w:val="0"/>
        <w:spacing w:line="578" w:lineRule="exact"/>
        <w:jc w:val="center"/>
        <w:rPr>
          <w:rFonts w:hint="eastAsia" w:ascii="黑体" w:hAnsi="黑体" w:eastAsia="黑体" w:cs="黑体"/>
          <w:b w:val="0"/>
          <w:bCs w:val="0"/>
          <w:color w:val="000000"/>
          <w:kern w:val="0"/>
          <w:sz w:val="36"/>
          <w:szCs w:val="36"/>
        </w:rPr>
      </w:pPr>
      <w:r>
        <w:rPr>
          <w:rFonts w:hint="eastAsia" w:ascii="黑体" w:hAnsi="黑体" w:eastAsia="黑体" w:cs="黑体"/>
          <w:b w:val="0"/>
          <w:bCs w:val="0"/>
          <w:color w:val="000000"/>
          <w:kern w:val="0"/>
          <w:sz w:val="36"/>
          <w:szCs w:val="36"/>
        </w:rPr>
        <w:t xml:space="preserve">第二章 </w:t>
      </w:r>
      <w:r>
        <w:rPr>
          <w:rFonts w:hint="eastAsia" w:ascii="黑体" w:hAnsi="黑体" w:eastAsia="黑体" w:cs="黑体"/>
          <w:b w:val="0"/>
          <w:bCs w:val="0"/>
          <w:color w:val="000000"/>
          <w:kern w:val="0"/>
          <w:sz w:val="36"/>
          <w:szCs w:val="36"/>
          <w:lang w:eastAsia="zh-CN"/>
        </w:rPr>
        <w:t>物业评估机构</w:t>
      </w:r>
      <w:r>
        <w:rPr>
          <w:rFonts w:hint="eastAsia" w:ascii="黑体" w:hAnsi="黑体" w:eastAsia="黑体" w:cs="黑体"/>
          <w:b w:val="0"/>
          <w:bCs w:val="0"/>
          <w:color w:val="000000"/>
          <w:kern w:val="0"/>
          <w:sz w:val="36"/>
          <w:szCs w:val="36"/>
        </w:rPr>
        <w:t>和专家委员会</w:t>
      </w:r>
    </w:p>
    <w:p>
      <w:pPr>
        <w:keepNext w:val="0"/>
        <w:keepLines w:val="0"/>
        <w:pageBreakBefore w:val="0"/>
        <w:widowControl/>
        <w:kinsoku/>
        <w:wordWrap/>
        <w:overflowPunct/>
        <w:topLinePunct w:val="0"/>
        <w:autoSpaceDE/>
        <w:autoSpaceDN/>
        <w:bidi w:val="0"/>
        <w:spacing w:line="578" w:lineRule="exact"/>
        <w:jc w:val="both"/>
        <w:rPr>
          <w:rFonts w:hint="eastAsia" w:ascii="黑体" w:hAnsi="黑体" w:eastAsia="黑体" w:cs="黑体"/>
          <w:b w:val="0"/>
          <w:bCs w:val="0"/>
          <w:color w:val="000000"/>
          <w:kern w:val="0"/>
        </w:rPr>
      </w:pP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黑体" w:hAnsi="黑体" w:eastAsia="黑体" w:cs="黑体"/>
          <w:b w:val="0"/>
          <w:bCs w:val="0"/>
          <w:color w:val="000000"/>
          <w:kern w:val="0"/>
        </w:rPr>
        <w:t>第五条</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rPr>
        <w:t>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机构应当具备下列条件：</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（一）具有独立法人资格，专业从事物业服务评估业务；</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（二）注册资本100万元以上；</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（三）有固定的办公场所和开展物业服务评估业务所需设施、设备和办公条件；</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（四）相关</w:t>
      </w:r>
      <w:r>
        <w:rPr>
          <w:rFonts w:hint="eastAsia" w:ascii="仿宋_GB2312" w:hAnsi="仿宋_GB2312" w:eastAsia="仿宋_GB2312" w:cs="仿宋_GB2312"/>
          <w:color w:val="000000"/>
          <w:kern w:val="0"/>
          <w:lang w:eastAsia="zh-CN"/>
        </w:rPr>
        <w:t>工程、管理、经济等相关</w:t>
      </w:r>
      <w:r>
        <w:rPr>
          <w:rFonts w:hint="eastAsia" w:ascii="仿宋_GB2312" w:hAnsi="仿宋_GB2312" w:eastAsia="仿宋_GB2312" w:cs="仿宋_GB2312"/>
          <w:color w:val="000000"/>
          <w:kern w:val="0"/>
        </w:rPr>
        <w:t>专业</w:t>
      </w:r>
      <w:r>
        <w:rPr>
          <w:rFonts w:hint="eastAsia" w:ascii="仿宋_GB2312" w:hAnsi="仿宋_GB2312" w:eastAsia="仿宋_GB2312" w:cs="仿宋_GB2312"/>
          <w:color w:val="000000"/>
          <w:kern w:val="0"/>
          <w:lang w:eastAsia="zh-CN"/>
        </w:rPr>
        <w:t>类</w:t>
      </w:r>
      <w:r>
        <w:rPr>
          <w:rFonts w:hint="eastAsia" w:ascii="仿宋_GB2312" w:hAnsi="仿宋_GB2312" w:eastAsia="仿宋_GB2312" w:cs="仿宋_GB2312"/>
          <w:color w:val="000000"/>
          <w:kern w:val="0"/>
        </w:rPr>
        <w:t>的专职管理和技术人员不少于</w:t>
      </w:r>
      <w:r>
        <w:rPr>
          <w:rFonts w:hint="eastAsia" w:ascii="仿宋_GB2312" w:hAnsi="仿宋_GB2312" w:eastAsia="仿宋_GB2312" w:cs="仿宋_GB2312"/>
          <w:color w:val="000000"/>
          <w:kern w:val="0"/>
          <w:lang w:eastAsia="zh-CN"/>
        </w:rPr>
        <w:t>五</w:t>
      </w:r>
      <w:r>
        <w:rPr>
          <w:rFonts w:hint="eastAsia" w:ascii="仿宋_GB2312" w:hAnsi="仿宋_GB2312" w:eastAsia="仿宋_GB2312" w:cs="仿宋_GB2312"/>
          <w:color w:val="000000"/>
          <w:kern w:val="0"/>
        </w:rPr>
        <w:t>人；</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（五）法律、法规规定的其他条件。</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符合</w:t>
      </w:r>
      <w:r>
        <w:rPr>
          <w:rFonts w:hint="eastAsia" w:ascii="仿宋_GB2312" w:hAnsi="仿宋_GB2312" w:eastAsia="仿宋_GB2312" w:cs="仿宋_GB2312"/>
          <w:color w:val="000000"/>
          <w:kern w:val="0"/>
          <w:lang w:eastAsia="zh-CN"/>
        </w:rPr>
        <w:t>前款</w:t>
      </w:r>
      <w:r>
        <w:rPr>
          <w:rFonts w:hint="eastAsia" w:ascii="仿宋_GB2312" w:hAnsi="仿宋_GB2312" w:eastAsia="仿宋_GB2312" w:cs="仿宋_GB2312"/>
          <w:color w:val="000000"/>
          <w:kern w:val="0"/>
        </w:rPr>
        <w:t>条件的物业服务</w:t>
      </w:r>
      <w:r>
        <w:rPr>
          <w:rFonts w:hint="eastAsia" w:ascii="仿宋_GB2312" w:hAnsi="仿宋_GB2312" w:eastAsia="仿宋_GB2312" w:cs="仿宋_GB2312"/>
          <w:color w:val="000000"/>
          <w:kern w:val="0"/>
          <w:lang w:eastAsia="zh-CN"/>
        </w:rPr>
        <w:t>评估</w:t>
      </w:r>
      <w:r>
        <w:rPr>
          <w:rFonts w:hint="eastAsia" w:ascii="仿宋_GB2312" w:hAnsi="仿宋_GB2312" w:eastAsia="仿宋_GB2312" w:cs="仿宋_GB2312"/>
          <w:color w:val="000000"/>
          <w:kern w:val="0"/>
        </w:rPr>
        <w:t>机构领取营业执照后，</w:t>
      </w:r>
      <w:r>
        <w:rPr>
          <w:rFonts w:hint="eastAsia" w:ascii="仿宋_GB2312" w:hAnsi="仿宋_GB2312" w:eastAsia="仿宋_GB2312" w:cs="仿宋_GB2312"/>
          <w:color w:val="000000"/>
          <w:kern w:val="0"/>
          <w:lang w:eastAsia="zh-CN"/>
        </w:rPr>
        <w:t>应当</w:t>
      </w:r>
      <w:r>
        <w:rPr>
          <w:rFonts w:hint="eastAsia" w:ascii="仿宋_GB2312" w:hAnsi="仿宋_GB2312" w:eastAsia="仿宋_GB2312" w:cs="仿宋_GB2312"/>
          <w:color w:val="000000"/>
          <w:kern w:val="0"/>
        </w:rPr>
        <w:t>向市物业管理行政主管部门</w:t>
      </w:r>
      <w:r>
        <w:rPr>
          <w:rFonts w:hint="eastAsia" w:ascii="仿宋_GB2312" w:hAnsi="仿宋_GB2312" w:eastAsia="仿宋_GB2312" w:cs="仿宋_GB2312"/>
          <w:color w:val="000000"/>
          <w:kern w:val="0"/>
          <w:lang w:eastAsia="zh-CN"/>
        </w:rPr>
        <w:t>申请备案</w:t>
      </w:r>
      <w:r>
        <w:rPr>
          <w:rFonts w:hint="eastAsia" w:ascii="仿宋_GB2312" w:hAnsi="仿宋_GB2312" w:eastAsia="仿宋_GB2312" w:cs="仿宋_GB2312"/>
          <w:color w:val="000000"/>
          <w:kern w:val="0"/>
        </w:rPr>
        <w:t>，纳入本市物业服务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机构名录。</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黑体" w:hAnsi="黑体" w:eastAsia="黑体" w:cs="黑体"/>
          <w:b w:val="0"/>
          <w:bCs w:val="0"/>
          <w:color w:val="000000"/>
          <w:kern w:val="0"/>
        </w:rPr>
        <w:t>第六条</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rPr>
        <w:t>市物业管理行政主管部门应当定期公布本市物业服务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机构情况，根据物业</w:t>
      </w:r>
      <w:r>
        <w:rPr>
          <w:rFonts w:hint="eastAsia" w:ascii="仿宋_GB2312" w:hAnsi="仿宋_GB2312" w:eastAsia="仿宋_GB2312" w:cs="仿宋_GB2312"/>
          <w:color w:val="000000"/>
          <w:kern w:val="0"/>
          <w:lang w:eastAsia="zh-CN"/>
        </w:rPr>
        <w:t>服务</w:t>
      </w:r>
      <w:r>
        <w:rPr>
          <w:rFonts w:hint="eastAsia" w:ascii="仿宋_GB2312" w:hAnsi="仿宋_GB2312" w:eastAsia="仿宋_GB2312" w:cs="仿宋_GB2312"/>
          <w:color w:val="000000"/>
          <w:kern w:val="0"/>
        </w:rPr>
        <w:t>评估机构的从业经历、技术力量、社会信誉和考核结果等情况建立物业</w:t>
      </w:r>
      <w:r>
        <w:rPr>
          <w:rFonts w:hint="eastAsia" w:ascii="仿宋_GB2312" w:hAnsi="仿宋_GB2312" w:eastAsia="仿宋_GB2312" w:cs="仿宋_GB2312"/>
          <w:color w:val="000000"/>
          <w:kern w:val="0"/>
          <w:lang w:eastAsia="zh-CN"/>
        </w:rPr>
        <w:t>服务</w:t>
      </w:r>
      <w:r>
        <w:rPr>
          <w:rFonts w:hint="eastAsia" w:ascii="仿宋_GB2312" w:hAnsi="仿宋_GB2312" w:eastAsia="仿宋_GB2312" w:cs="仿宋_GB2312"/>
          <w:color w:val="000000"/>
          <w:kern w:val="0"/>
        </w:rPr>
        <w:t>评估机构信用档案。</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黑体" w:hAnsi="黑体" w:eastAsia="黑体" w:cs="黑体"/>
          <w:b w:val="0"/>
          <w:bCs w:val="0"/>
          <w:color w:val="000000"/>
          <w:kern w:val="0"/>
        </w:rPr>
        <w:t>第七条</w:t>
      </w:r>
      <w:r>
        <w:rPr>
          <w:rFonts w:hint="eastAsia" w:ascii="仿宋_GB2312" w:hAnsi="仿宋_GB2312" w:eastAsia="仿宋_GB2312" w:cs="仿宋_GB2312"/>
          <w:color w:val="000000"/>
          <w:kern w:val="0"/>
        </w:rPr>
        <w:t xml:space="preserve">  市物业管理行政主管部门</w:t>
      </w:r>
      <w:r>
        <w:rPr>
          <w:rFonts w:hint="eastAsia" w:ascii="仿宋_GB2312" w:hAnsi="仿宋_GB2312" w:eastAsia="仿宋_GB2312" w:cs="仿宋_GB2312"/>
          <w:color w:val="000000"/>
          <w:kern w:val="0"/>
          <w:lang w:eastAsia="zh-CN"/>
        </w:rPr>
        <w:t>应当</w:t>
      </w:r>
      <w:r>
        <w:rPr>
          <w:rFonts w:hint="eastAsia" w:ascii="仿宋_GB2312" w:hAnsi="仿宋_GB2312" w:eastAsia="仿宋_GB2312" w:cs="仿宋_GB2312"/>
          <w:color w:val="000000"/>
          <w:kern w:val="0"/>
        </w:rPr>
        <w:t>组织建立本市物业服务评估专家委员会。</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baseline"/>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物业服务评估专家委员会负责物业服务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报告的异议鉴定。</w:t>
      </w:r>
    </w:p>
    <w:p>
      <w:pPr>
        <w:keepNext w:val="0"/>
        <w:keepLines w:val="0"/>
        <w:pageBreakBefore w:val="0"/>
        <w:widowControl/>
        <w:kinsoku/>
        <w:wordWrap/>
        <w:overflowPunct/>
        <w:topLinePunct w:val="0"/>
        <w:autoSpaceDE/>
        <w:autoSpaceDN/>
        <w:bidi w:val="0"/>
        <w:spacing w:line="578" w:lineRule="exact"/>
        <w:ind w:firstLine="570"/>
        <w:jc w:val="both"/>
        <w:rPr>
          <w:rFonts w:hint="eastAsia" w:ascii="仿宋" w:hAnsi="仿宋" w:eastAsia="仿宋" w:cs="仿宋"/>
          <w:b/>
          <w:bCs/>
          <w:color w:val="000000"/>
          <w:kern w:val="0"/>
        </w:rPr>
      </w:pPr>
    </w:p>
    <w:p>
      <w:pPr>
        <w:keepNext w:val="0"/>
        <w:keepLines w:val="0"/>
        <w:pageBreakBefore w:val="0"/>
        <w:widowControl/>
        <w:kinsoku/>
        <w:wordWrap/>
        <w:overflowPunct/>
        <w:topLinePunct w:val="0"/>
        <w:autoSpaceDE/>
        <w:autoSpaceDN/>
        <w:bidi w:val="0"/>
        <w:spacing w:line="578" w:lineRule="exact"/>
        <w:jc w:val="center"/>
        <w:rPr>
          <w:rFonts w:hint="eastAsia" w:ascii="黑体" w:hAnsi="黑体" w:eastAsia="黑体" w:cs="黑体"/>
          <w:b w:val="0"/>
          <w:bCs w:val="0"/>
          <w:color w:val="000000"/>
          <w:kern w:val="0"/>
          <w:sz w:val="36"/>
          <w:szCs w:val="36"/>
        </w:rPr>
      </w:pPr>
      <w:r>
        <w:rPr>
          <w:rFonts w:hint="eastAsia" w:ascii="黑体" w:hAnsi="黑体" w:eastAsia="黑体" w:cs="黑体"/>
          <w:b w:val="0"/>
          <w:bCs w:val="0"/>
          <w:color w:val="000000"/>
          <w:kern w:val="0"/>
          <w:sz w:val="36"/>
          <w:szCs w:val="36"/>
        </w:rPr>
        <w:t>第三章  物业服务</w:t>
      </w:r>
      <w:r>
        <w:rPr>
          <w:rFonts w:hint="eastAsia" w:ascii="黑体" w:hAnsi="黑体" w:eastAsia="黑体" w:cs="黑体"/>
          <w:b w:val="0"/>
          <w:bCs w:val="0"/>
          <w:color w:val="000000"/>
          <w:kern w:val="0"/>
          <w:sz w:val="36"/>
          <w:szCs w:val="36"/>
          <w:lang w:eastAsia="zh-CN"/>
        </w:rPr>
        <w:t>第三方评估</w:t>
      </w:r>
      <w:r>
        <w:rPr>
          <w:rFonts w:hint="eastAsia" w:ascii="黑体" w:hAnsi="黑体" w:eastAsia="黑体" w:cs="黑体"/>
          <w:b w:val="0"/>
          <w:bCs w:val="0"/>
          <w:color w:val="000000"/>
          <w:kern w:val="0"/>
          <w:sz w:val="36"/>
          <w:szCs w:val="36"/>
        </w:rPr>
        <w:t>活动</w:t>
      </w:r>
    </w:p>
    <w:p>
      <w:pPr>
        <w:keepNext w:val="0"/>
        <w:keepLines w:val="0"/>
        <w:pageBreakBefore w:val="0"/>
        <w:widowControl/>
        <w:kinsoku/>
        <w:wordWrap/>
        <w:overflowPunct/>
        <w:topLinePunct w:val="0"/>
        <w:autoSpaceDE/>
        <w:autoSpaceDN/>
        <w:bidi w:val="0"/>
        <w:spacing w:line="578" w:lineRule="exact"/>
        <w:jc w:val="both"/>
        <w:rPr>
          <w:rFonts w:hint="eastAsia" w:ascii="黑体" w:hAnsi="黑体" w:eastAsia="黑体" w:cs="黑体"/>
          <w:b w:val="0"/>
          <w:bCs w:val="0"/>
          <w:color w:val="000000"/>
          <w:kern w:val="0"/>
        </w:rPr>
      </w:pP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黑体" w:hAnsi="黑体" w:eastAsia="黑体" w:cs="黑体"/>
          <w:color w:val="000000"/>
          <w:kern w:val="0"/>
          <w:lang w:eastAsia="zh-CN"/>
        </w:rPr>
        <w:t>第八条</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lang w:eastAsia="zh-CN"/>
        </w:rPr>
        <w:t>物业服务第三方评估机构</w:t>
      </w:r>
      <w:r>
        <w:rPr>
          <w:rFonts w:hint="eastAsia" w:ascii="仿宋_GB2312" w:hAnsi="仿宋_GB2312" w:eastAsia="仿宋_GB2312" w:cs="仿宋_GB2312"/>
          <w:color w:val="000000"/>
          <w:kern w:val="0"/>
        </w:rPr>
        <w:t>接受委托从事物业服务评估活动，应当与委托</w:t>
      </w:r>
      <w:r>
        <w:rPr>
          <w:rFonts w:hint="eastAsia" w:ascii="仿宋_GB2312" w:hAnsi="仿宋_GB2312" w:eastAsia="仿宋_GB2312" w:cs="仿宋_GB2312"/>
          <w:color w:val="000000"/>
          <w:kern w:val="0"/>
          <w:lang w:eastAsia="zh-CN"/>
        </w:rPr>
        <w:t>人</w:t>
      </w:r>
      <w:r>
        <w:rPr>
          <w:rFonts w:hint="eastAsia" w:ascii="仿宋_GB2312" w:hAnsi="仿宋_GB2312" w:eastAsia="仿宋_GB2312" w:cs="仿宋_GB2312"/>
          <w:color w:val="000000"/>
          <w:kern w:val="0"/>
        </w:rPr>
        <w:t>签订书面评估委托合同，约定评估</w:t>
      </w:r>
      <w:r>
        <w:rPr>
          <w:rFonts w:hint="eastAsia" w:ascii="仿宋_GB2312" w:hAnsi="仿宋_GB2312" w:eastAsia="仿宋_GB2312" w:cs="仿宋_GB2312"/>
          <w:color w:val="000000"/>
          <w:kern w:val="0"/>
          <w:lang w:eastAsia="zh-CN"/>
        </w:rPr>
        <w:t>服务</w:t>
      </w:r>
      <w:r>
        <w:rPr>
          <w:rFonts w:hint="eastAsia" w:ascii="仿宋_GB2312" w:hAnsi="仿宋_GB2312" w:eastAsia="仿宋_GB2312" w:cs="仿宋_GB2312"/>
          <w:color w:val="000000"/>
          <w:kern w:val="0"/>
        </w:rPr>
        <w:t>内容及费用。</w:t>
      </w:r>
    </w:p>
    <w:p>
      <w:pPr>
        <w:keepNext w:val="0"/>
        <w:keepLines w:val="0"/>
        <w:pageBreakBefore w:val="0"/>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费用收取遵循自愿协商、市场调节、</w:t>
      </w:r>
      <w:r>
        <w:rPr>
          <w:rFonts w:hint="eastAsia" w:ascii="仿宋_GB2312" w:hAnsi="仿宋_GB2312" w:eastAsia="仿宋_GB2312" w:cs="仿宋_GB2312"/>
          <w:color w:val="000000"/>
          <w:kern w:val="0"/>
          <w:lang w:eastAsia="zh-CN"/>
        </w:rPr>
        <w:t>“</w:t>
      </w:r>
      <w:r>
        <w:rPr>
          <w:rFonts w:hint="eastAsia" w:ascii="仿宋_GB2312" w:hAnsi="仿宋_GB2312" w:eastAsia="仿宋_GB2312" w:cs="仿宋_GB2312"/>
          <w:color w:val="000000"/>
          <w:kern w:val="0"/>
        </w:rPr>
        <w:t>谁委托谁付费</w:t>
      </w:r>
      <w:r>
        <w:rPr>
          <w:rFonts w:hint="eastAsia" w:ascii="仿宋_GB2312" w:hAnsi="仿宋_GB2312" w:eastAsia="仿宋_GB2312" w:cs="仿宋_GB2312"/>
          <w:color w:val="000000"/>
          <w:kern w:val="0"/>
          <w:lang w:eastAsia="zh-CN"/>
        </w:rPr>
        <w:t>”</w:t>
      </w:r>
      <w:r>
        <w:rPr>
          <w:rFonts w:hint="eastAsia" w:ascii="仿宋_GB2312" w:hAnsi="仿宋_GB2312" w:eastAsia="仿宋_GB2312" w:cs="仿宋_GB2312"/>
          <w:color w:val="000000"/>
          <w:kern w:val="0"/>
        </w:rPr>
        <w:t>的原则。</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黑体" w:hAnsi="黑体" w:eastAsia="黑体" w:cs="黑体"/>
          <w:color w:val="000000"/>
          <w:kern w:val="0"/>
          <w:lang w:eastAsia="zh-CN"/>
        </w:rPr>
        <w:t>第九条</w:t>
      </w:r>
      <w:r>
        <w:rPr>
          <w:rFonts w:hint="eastAsia" w:ascii="仿宋_GB2312" w:hAnsi="仿宋_GB2312" w:eastAsia="仿宋_GB2312" w:cs="仿宋_GB2312"/>
          <w:b/>
          <w:bCs/>
          <w:color w:val="000000"/>
          <w:kern w:val="0"/>
          <w:lang w:val="en-US" w:eastAsia="zh-CN"/>
        </w:rPr>
        <w:t xml:space="preserve">  </w:t>
      </w:r>
      <w:r>
        <w:rPr>
          <w:rFonts w:hint="eastAsia" w:ascii="仿宋_GB2312" w:hAnsi="仿宋_GB2312" w:eastAsia="仿宋_GB2312" w:cs="仿宋_GB2312"/>
          <w:color w:val="000000"/>
          <w:kern w:val="0"/>
        </w:rPr>
        <w:t>物业服务评估业务范围包括：</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（一）物业服务质量评估；</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（二）前期物业管理项目</w:t>
      </w:r>
      <w:r>
        <w:rPr>
          <w:rFonts w:hint="eastAsia" w:ascii="仿宋_GB2312" w:hAnsi="仿宋_GB2312" w:eastAsia="仿宋_GB2312" w:cs="仿宋_GB2312"/>
          <w:color w:val="000000"/>
          <w:kern w:val="0"/>
          <w:lang w:eastAsia="zh-CN"/>
        </w:rPr>
        <w:t>交接和</w:t>
      </w:r>
      <w:r>
        <w:rPr>
          <w:rFonts w:hint="eastAsia" w:ascii="仿宋_GB2312" w:hAnsi="仿宋_GB2312" w:eastAsia="仿宋_GB2312" w:cs="仿宋_GB2312"/>
          <w:color w:val="000000"/>
          <w:kern w:val="0"/>
        </w:rPr>
        <w:t>查验；</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（三）物业管理项目服务标准和费用测算；</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w:t>
      </w:r>
      <w:r>
        <w:rPr>
          <w:rFonts w:hint="eastAsia" w:ascii="仿宋_GB2312" w:hAnsi="仿宋_GB2312" w:eastAsia="仿宋_GB2312" w:cs="仿宋_GB2312"/>
          <w:color w:val="000000"/>
          <w:kern w:val="0"/>
          <w:lang w:val="en-US" w:eastAsia="zh-CN"/>
        </w:rPr>
        <w:t>四</w:t>
      </w:r>
      <w:r>
        <w:rPr>
          <w:rFonts w:hint="eastAsia" w:ascii="仿宋_GB2312" w:hAnsi="仿宋_GB2312" w:eastAsia="仿宋_GB2312" w:cs="仿宋_GB2312"/>
          <w:color w:val="000000"/>
          <w:kern w:val="0"/>
        </w:rPr>
        <w:t>）首次业主大会筹备指导及业主自治活动过程指导；</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w:t>
      </w:r>
      <w:r>
        <w:rPr>
          <w:rFonts w:hint="eastAsia" w:ascii="仿宋_GB2312" w:hAnsi="仿宋_GB2312" w:eastAsia="仿宋_GB2312" w:cs="仿宋_GB2312"/>
          <w:color w:val="000000"/>
          <w:kern w:val="0"/>
          <w:lang w:val="en-US" w:eastAsia="zh-CN"/>
        </w:rPr>
        <w:t>五</w:t>
      </w:r>
      <w:r>
        <w:rPr>
          <w:rFonts w:hint="eastAsia" w:ascii="仿宋_GB2312" w:hAnsi="仿宋_GB2312" w:eastAsia="仿宋_GB2312" w:cs="仿宋_GB2312"/>
          <w:color w:val="000000"/>
          <w:kern w:val="0"/>
        </w:rPr>
        <w:t>）其他需要评估的事项。</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lang w:eastAsia="zh-CN"/>
        </w:rPr>
        <w:t>物业服务第三方评估</w:t>
      </w:r>
      <w:r>
        <w:rPr>
          <w:rFonts w:hint="eastAsia" w:ascii="仿宋_GB2312" w:hAnsi="仿宋_GB2312" w:eastAsia="仿宋_GB2312" w:cs="仿宋_GB2312"/>
          <w:color w:val="000000"/>
          <w:kern w:val="0"/>
          <w:lang w:val="en-US" w:eastAsia="zh-CN"/>
        </w:rPr>
        <w:t>机构</w:t>
      </w:r>
      <w:r>
        <w:rPr>
          <w:rFonts w:hint="eastAsia" w:ascii="仿宋_GB2312" w:hAnsi="仿宋_GB2312" w:eastAsia="仿宋_GB2312" w:cs="仿宋_GB2312"/>
          <w:color w:val="000000"/>
          <w:kern w:val="0"/>
        </w:rPr>
        <w:t>承揽</w:t>
      </w:r>
      <w:r>
        <w:rPr>
          <w:rFonts w:hint="eastAsia" w:ascii="仿宋_GB2312" w:hAnsi="仿宋_GB2312" w:eastAsia="仿宋_GB2312" w:cs="仿宋_GB2312"/>
          <w:color w:val="000000"/>
          <w:kern w:val="0"/>
          <w:lang w:eastAsia="zh-CN"/>
        </w:rPr>
        <w:t>前款第一、二、三项</w:t>
      </w:r>
      <w:r>
        <w:rPr>
          <w:rFonts w:hint="eastAsia" w:ascii="仿宋_GB2312" w:hAnsi="仿宋_GB2312" w:eastAsia="仿宋_GB2312" w:cs="仿宋_GB2312"/>
          <w:color w:val="000000"/>
          <w:kern w:val="0"/>
        </w:rPr>
        <w:t>业务，应当出具</w:t>
      </w:r>
      <w:r>
        <w:rPr>
          <w:rFonts w:hint="eastAsia" w:ascii="仿宋_GB2312" w:hAnsi="仿宋_GB2312" w:eastAsia="仿宋_GB2312" w:cs="仿宋_GB2312"/>
          <w:color w:val="000000"/>
          <w:kern w:val="0"/>
          <w:lang w:eastAsia="zh-CN"/>
        </w:rPr>
        <w:t>相应的</w:t>
      </w:r>
      <w:r>
        <w:rPr>
          <w:rFonts w:hint="eastAsia" w:ascii="仿宋_GB2312" w:hAnsi="仿宋_GB2312" w:eastAsia="仿宋_GB2312" w:cs="仿宋_GB2312"/>
          <w:color w:val="000000"/>
          <w:kern w:val="0"/>
        </w:rPr>
        <w:t>报告</w:t>
      </w:r>
      <w:r>
        <w:rPr>
          <w:rFonts w:hint="eastAsia" w:ascii="仿宋_GB2312" w:hAnsi="仿宋_GB2312" w:eastAsia="仿宋_GB2312" w:cs="仿宋_GB2312"/>
          <w:color w:val="000000"/>
          <w:kern w:val="0"/>
          <w:lang w:eastAsia="zh-CN"/>
        </w:rPr>
        <w:t>，并对委托人负责</w:t>
      </w:r>
      <w:r>
        <w:rPr>
          <w:rFonts w:hint="eastAsia" w:ascii="仿宋_GB2312" w:hAnsi="仿宋_GB2312" w:eastAsia="仿宋_GB2312" w:cs="仿宋_GB2312"/>
          <w:color w:val="000000"/>
          <w:kern w:val="0"/>
        </w:rPr>
        <w:t>。</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lang w:eastAsia="zh-CN"/>
        </w:rPr>
        <w:t>物业服务评估业务应当由物业服务评估机构接受委托，</w:t>
      </w:r>
      <w:r>
        <w:rPr>
          <w:rFonts w:hint="eastAsia" w:ascii="仿宋_GB2312" w:hAnsi="仿宋_GB2312" w:eastAsia="仿宋_GB2312" w:cs="仿宋_GB2312"/>
          <w:color w:val="000000"/>
          <w:kern w:val="0"/>
        </w:rPr>
        <w:t>个人不得承揽评估业务。</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黑体" w:hAnsi="黑体" w:eastAsia="黑体" w:cs="黑体"/>
          <w:color w:val="000000"/>
          <w:kern w:val="0"/>
          <w:lang w:eastAsia="zh-CN"/>
        </w:rPr>
        <w:t>第十条</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lang w:eastAsia="zh-CN"/>
        </w:rPr>
        <w:t>物业服务第三方评估</w:t>
      </w:r>
      <w:r>
        <w:rPr>
          <w:rFonts w:hint="eastAsia" w:ascii="仿宋_GB2312" w:hAnsi="仿宋_GB2312" w:eastAsia="仿宋_GB2312" w:cs="仿宋_GB2312"/>
          <w:color w:val="000000"/>
          <w:kern w:val="0"/>
          <w:lang w:val="en-US" w:eastAsia="zh-CN"/>
        </w:rPr>
        <w:t>机构</w:t>
      </w:r>
      <w:r>
        <w:rPr>
          <w:rFonts w:hint="eastAsia" w:ascii="仿宋_GB2312" w:hAnsi="仿宋_GB2312" w:eastAsia="仿宋_GB2312" w:cs="仿宋_GB2312"/>
          <w:color w:val="000000"/>
          <w:kern w:val="0"/>
        </w:rPr>
        <w:t>出具的评估报告应当符合相关法律、法规、技术标准和委托合同约定，不得具有虚假内容、误导性陈述</w:t>
      </w:r>
      <w:r>
        <w:rPr>
          <w:rFonts w:hint="eastAsia" w:ascii="仿宋_GB2312" w:hAnsi="仿宋_GB2312" w:eastAsia="仿宋_GB2312" w:cs="仿宋_GB2312"/>
          <w:color w:val="000000"/>
          <w:kern w:val="0"/>
          <w:lang w:eastAsia="zh-CN"/>
        </w:rPr>
        <w:t>和</w:t>
      </w:r>
      <w:r>
        <w:rPr>
          <w:rFonts w:hint="eastAsia" w:ascii="仿宋_GB2312" w:hAnsi="仿宋_GB2312" w:eastAsia="仿宋_GB2312" w:cs="仿宋_GB2312"/>
          <w:color w:val="000000"/>
          <w:kern w:val="0"/>
        </w:rPr>
        <w:t>重大遗漏。</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黑体" w:hAnsi="黑体" w:eastAsia="黑体" w:cs="黑体"/>
          <w:color w:val="000000"/>
          <w:kern w:val="0"/>
          <w:lang w:eastAsia="zh-CN"/>
        </w:rPr>
        <w:t>第十一条</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lang w:eastAsia="zh-CN"/>
        </w:rPr>
        <w:t>物业服务第三方评估</w:t>
      </w:r>
      <w:r>
        <w:rPr>
          <w:rFonts w:hint="eastAsia" w:ascii="仿宋_GB2312" w:hAnsi="仿宋_GB2312" w:eastAsia="仿宋_GB2312" w:cs="仿宋_GB2312"/>
          <w:color w:val="000000"/>
          <w:kern w:val="0"/>
          <w:lang w:val="en-US" w:eastAsia="zh-CN"/>
        </w:rPr>
        <w:t>机构</w:t>
      </w:r>
      <w:r>
        <w:rPr>
          <w:rFonts w:hint="eastAsia" w:ascii="仿宋_GB2312" w:hAnsi="仿宋_GB2312" w:eastAsia="仿宋_GB2312" w:cs="仿宋_GB2312"/>
          <w:color w:val="000000"/>
          <w:kern w:val="0"/>
        </w:rPr>
        <w:t>及从事评估业务的人员与委托人或与评估事项有利害关系、可能影响公正评估的，应当回避。</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b/>
          <w:bCs/>
          <w:color w:val="000000"/>
          <w:kern w:val="0"/>
        </w:rPr>
      </w:pPr>
      <w:r>
        <w:rPr>
          <w:rFonts w:hint="eastAsia" w:ascii="黑体" w:hAnsi="黑体" w:eastAsia="黑体" w:cs="黑体"/>
          <w:color w:val="000000"/>
          <w:kern w:val="0"/>
          <w:lang w:eastAsia="zh-CN"/>
        </w:rPr>
        <w:t>第十二条</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rPr>
        <w:t>已交付使用物业业主总人数百分之</w:t>
      </w:r>
      <w:r>
        <w:rPr>
          <w:rFonts w:hint="eastAsia" w:ascii="仿宋_GB2312" w:hAnsi="仿宋_GB2312" w:eastAsia="仿宋_GB2312" w:cs="仿宋_GB2312"/>
          <w:color w:val="000000"/>
          <w:kern w:val="0"/>
          <w:lang w:eastAsia="zh-CN"/>
        </w:rPr>
        <w:t>二</w:t>
      </w:r>
      <w:r>
        <w:rPr>
          <w:rFonts w:hint="eastAsia" w:ascii="仿宋_GB2312" w:hAnsi="仿宋_GB2312" w:eastAsia="仿宋_GB2312" w:cs="仿宋_GB2312"/>
          <w:color w:val="000000"/>
          <w:kern w:val="0"/>
        </w:rPr>
        <w:t>十以上的业主，因对建设单位选聘的物业服务企业的服务质量不满意，</w:t>
      </w:r>
      <w:r>
        <w:rPr>
          <w:rFonts w:hint="eastAsia" w:ascii="仿宋_GB2312" w:hAnsi="仿宋_GB2312" w:eastAsia="仿宋_GB2312" w:cs="仿宋_GB2312"/>
          <w:color w:val="000000"/>
          <w:kern w:val="0"/>
          <w:lang w:eastAsia="zh-CN"/>
        </w:rPr>
        <w:t>可以</w:t>
      </w:r>
      <w:r>
        <w:rPr>
          <w:rFonts w:hint="eastAsia" w:ascii="仿宋_GB2312" w:hAnsi="仿宋_GB2312" w:eastAsia="仿宋_GB2312" w:cs="仿宋_GB2312"/>
          <w:color w:val="000000"/>
          <w:kern w:val="0"/>
        </w:rPr>
        <w:t>委托</w:t>
      </w:r>
      <w:r>
        <w:rPr>
          <w:rFonts w:hint="eastAsia" w:ascii="仿宋_GB2312" w:hAnsi="仿宋_GB2312" w:eastAsia="仿宋_GB2312" w:cs="仿宋_GB2312"/>
          <w:color w:val="000000"/>
          <w:kern w:val="0"/>
          <w:lang w:eastAsia="zh-CN"/>
        </w:rPr>
        <w:t>物业服务第三方评估机构</w:t>
      </w:r>
      <w:r>
        <w:rPr>
          <w:rFonts w:hint="eastAsia" w:ascii="仿宋_GB2312" w:hAnsi="仿宋_GB2312" w:eastAsia="仿宋_GB2312" w:cs="仿宋_GB2312"/>
          <w:color w:val="000000"/>
          <w:kern w:val="0"/>
        </w:rPr>
        <w:t>对物业服务企业的履约情况进行评估</w:t>
      </w:r>
      <w:r>
        <w:rPr>
          <w:rFonts w:hint="eastAsia" w:ascii="仿宋_GB2312" w:hAnsi="仿宋_GB2312" w:eastAsia="仿宋_GB2312" w:cs="仿宋_GB2312"/>
          <w:color w:val="000000"/>
          <w:kern w:val="0"/>
          <w:lang w:eastAsia="zh-CN"/>
        </w:rPr>
        <w:t>。物业服务第三方评估</w:t>
      </w:r>
      <w:r>
        <w:rPr>
          <w:rFonts w:hint="eastAsia" w:ascii="仿宋_GB2312" w:hAnsi="仿宋_GB2312" w:eastAsia="仿宋_GB2312" w:cs="仿宋_GB2312"/>
          <w:color w:val="000000"/>
          <w:kern w:val="0"/>
          <w:lang w:val="en-US" w:eastAsia="zh-CN"/>
        </w:rPr>
        <w:t>机构的选定应</w:t>
      </w:r>
      <w:r>
        <w:rPr>
          <w:rFonts w:hint="eastAsia" w:ascii="仿宋_GB2312" w:hAnsi="仿宋_GB2312" w:eastAsia="仿宋_GB2312" w:cs="仿宋_GB2312"/>
          <w:color w:val="000000"/>
          <w:kern w:val="0"/>
          <w:lang w:eastAsia="zh-CN"/>
        </w:rPr>
        <w:t>与建设单位、</w:t>
      </w:r>
      <w:r>
        <w:rPr>
          <w:rFonts w:hint="eastAsia" w:ascii="仿宋_GB2312" w:hAnsi="仿宋_GB2312" w:eastAsia="仿宋_GB2312" w:cs="仿宋_GB2312"/>
          <w:color w:val="000000"/>
          <w:kern w:val="0"/>
        </w:rPr>
        <w:t>物业服务企业协商</w:t>
      </w:r>
      <w:r>
        <w:rPr>
          <w:rFonts w:hint="eastAsia" w:ascii="仿宋_GB2312" w:hAnsi="仿宋_GB2312" w:eastAsia="仿宋_GB2312" w:cs="仿宋_GB2312"/>
          <w:color w:val="000000"/>
          <w:kern w:val="0"/>
          <w:lang w:eastAsia="zh-CN"/>
        </w:rPr>
        <w:t>，并</w:t>
      </w:r>
      <w:r>
        <w:rPr>
          <w:rFonts w:hint="eastAsia" w:ascii="仿宋_GB2312" w:hAnsi="仿宋_GB2312" w:eastAsia="仿宋_GB2312" w:cs="仿宋_GB2312"/>
          <w:color w:val="000000"/>
          <w:kern w:val="0"/>
        </w:rPr>
        <w:t xml:space="preserve">遵循下列程序： </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（一）已交付使用物业业主总人数百分之</w:t>
      </w:r>
      <w:r>
        <w:rPr>
          <w:rFonts w:hint="eastAsia" w:ascii="仿宋_GB2312" w:hAnsi="仿宋_GB2312" w:eastAsia="仿宋_GB2312" w:cs="仿宋_GB2312"/>
          <w:color w:val="000000"/>
          <w:kern w:val="0"/>
          <w:lang w:eastAsia="zh-CN"/>
        </w:rPr>
        <w:t>二</w:t>
      </w:r>
      <w:r>
        <w:rPr>
          <w:rFonts w:hint="eastAsia" w:ascii="仿宋_GB2312" w:hAnsi="仿宋_GB2312" w:eastAsia="仿宋_GB2312" w:cs="仿宋_GB2312"/>
          <w:color w:val="000000"/>
          <w:kern w:val="0"/>
        </w:rPr>
        <w:t>十以上的业主向建设单位提出联名申请，确定一名业主为申请人代表；</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（二）建设单位</w:t>
      </w:r>
      <w:r>
        <w:rPr>
          <w:rFonts w:hint="eastAsia" w:ascii="仿宋_GB2312" w:hAnsi="仿宋_GB2312" w:eastAsia="仿宋_GB2312" w:cs="仿宋_GB2312"/>
          <w:color w:val="000000"/>
          <w:kern w:val="0"/>
          <w:lang w:eastAsia="zh-CN"/>
        </w:rPr>
        <w:t>收到</w:t>
      </w:r>
      <w:r>
        <w:rPr>
          <w:rFonts w:hint="eastAsia" w:ascii="仿宋_GB2312" w:hAnsi="仿宋_GB2312" w:eastAsia="仿宋_GB2312" w:cs="仿宋_GB2312"/>
          <w:color w:val="000000"/>
          <w:kern w:val="0"/>
        </w:rPr>
        <w:t>联名申请</w:t>
      </w:r>
      <w:r>
        <w:rPr>
          <w:rFonts w:hint="eastAsia" w:ascii="仿宋_GB2312" w:hAnsi="仿宋_GB2312" w:eastAsia="仿宋_GB2312" w:cs="仿宋_GB2312"/>
          <w:color w:val="000000"/>
          <w:kern w:val="0"/>
          <w:lang w:eastAsia="zh-CN"/>
        </w:rPr>
        <w:t>后，</w:t>
      </w:r>
      <w:r>
        <w:rPr>
          <w:rFonts w:hint="eastAsia" w:ascii="仿宋_GB2312" w:hAnsi="仿宋_GB2312" w:eastAsia="仿宋_GB2312" w:cs="仿宋_GB2312"/>
          <w:color w:val="000000"/>
          <w:kern w:val="0"/>
        </w:rPr>
        <w:t>根据《临时管理规约》，核实业主人数，五</w:t>
      </w:r>
      <w:r>
        <w:rPr>
          <w:rFonts w:hint="eastAsia" w:ascii="仿宋_GB2312" w:hAnsi="仿宋_GB2312" w:eastAsia="仿宋_GB2312" w:cs="仿宋_GB2312"/>
          <w:color w:val="000000"/>
          <w:kern w:val="0"/>
          <w:lang w:eastAsia="zh-CN"/>
        </w:rPr>
        <w:t>个工作日</w:t>
      </w:r>
      <w:r>
        <w:rPr>
          <w:rFonts w:hint="eastAsia" w:ascii="仿宋_GB2312" w:hAnsi="仿宋_GB2312" w:eastAsia="仿宋_GB2312" w:cs="仿宋_GB2312"/>
          <w:color w:val="000000"/>
          <w:kern w:val="0"/>
        </w:rPr>
        <w:t>内就核实情况书面回复申请人代表；</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（三）申请人代表收到书面回复后，</w:t>
      </w:r>
      <w:r>
        <w:rPr>
          <w:rFonts w:hint="eastAsia" w:ascii="仿宋_GB2312" w:hAnsi="仿宋_GB2312" w:eastAsia="仿宋_GB2312" w:cs="仿宋_GB2312"/>
          <w:color w:val="000000"/>
          <w:kern w:val="0"/>
          <w:lang w:eastAsia="zh-CN"/>
        </w:rPr>
        <w:t>与</w:t>
      </w:r>
      <w:r>
        <w:rPr>
          <w:rFonts w:hint="eastAsia" w:ascii="仿宋_GB2312" w:hAnsi="仿宋_GB2312" w:eastAsia="仿宋_GB2312" w:cs="仿宋_GB2312"/>
          <w:color w:val="000000"/>
          <w:kern w:val="0"/>
        </w:rPr>
        <w:t>建设单位、物业服务企业在五</w:t>
      </w:r>
      <w:r>
        <w:rPr>
          <w:rFonts w:hint="eastAsia" w:ascii="仿宋_GB2312" w:hAnsi="仿宋_GB2312" w:eastAsia="仿宋_GB2312" w:cs="仿宋_GB2312"/>
          <w:color w:val="000000"/>
          <w:kern w:val="0"/>
          <w:lang w:eastAsia="zh-CN"/>
        </w:rPr>
        <w:t>个工作日</w:t>
      </w:r>
      <w:r>
        <w:rPr>
          <w:rFonts w:hint="eastAsia" w:ascii="仿宋_GB2312" w:hAnsi="仿宋_GB2312" w:eastAsia="仿宋_GB2312" w:cs="仿宋_GB2312"/>
          <w:color w:val="000000"/>
          <w:kern w:val="0"/>
        </w:rPr>
        <w:t>内协商确定</w:t>
      </w:r>
      <w:r>
        <w:rPr>
          <w:rFonts w:hint="eastAsia" w:ascii="仿宋_GB2312" w:hAnsi="仿宋_GB2312" w:eastAsia="仿宋_GB2312" w:cs="仿宋_GB2312"/>
          <w:color w:val="000000"/>
          <w:kern w:val="0"/>
          <w:lang w:eastAsia="zh-CN"/>
        </w:rPr>
        <w:t>物业服务第三方评估</w:t>
      </w:r>
      <w:r>
        <w:rPr>
          <w:rFonts w:hint="eastAsia" w:ascii="仿宋_GB2312" w:hAnsi="仿宋_GB2312" w:eastAsia="仿宋_GB2312" w:cs="仿宋_GB2312"/>
          <w:color w:val="000000"/>
          <w:kern w:val="0"/>
          <w:lang w:val="en-US" w:eastAsia="zh-CN"/>
        </w:rPr>
        <w:t>机构</w:t>
      </w:r>
      <w:r>
        <w:rPr>
          <w:rFonts w:hint="eastAsia" w:ascii="仿宋_GB2312" w:hAnsi="仿宋_GB2312" w:eastAsia="仿宋_GB2312" w:cs="仿宋_GB2312"/>
          <w:color w:val="000000"/>
          <w:kern w:val="0"/>
        </w:rPr>
        <w:t>，并形成三方确认的书面协议。</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kern w:val="0"/>
        </w:rPr>
      </w:pPr>
      <w:r>
        <w:rPr>
          <w:rFonts w:hint="eastAsia" w:ascii="仿宋_GB2312" w:hAnsi="仿宋_GB2312" w:eastAsia="仿宋_GB2312" w:cs="仿宋_GB2312"/>
          <w:kern w:val="0"/>
          <w:lang w:eastAsia="zh-CN"/>
        </w:rPr>
        <w:t>（四）申请人代表</w:t>
      </w:r>
      <w:r>
        <w:rPr>
          <w:rFonts w:hint="eastAsia" w:ascii="仿宋_GB2312" w:hAnsi="仿宋_GB2312" w:eastAsia="仿宋_GB2312" w:cs="仿宋_GB2312"/>
          <w:kern w:val="0"/>
        </w:rPr>
        <w:t>与</w:t>
      </w:r>
      <w:r>
        <w:rPr>
          <w:rFonts w:hint="eastAsia" w:ascii="仿宋_GB2312" w:hAnsi="仿宋_GB2312" w:eastAsia="仿宋_GB2312" w:cs="仿宋_GB2312"/>
          <w:kern w:val="0"/>
          <w:lang w:eastAsia="zh-CN"/>
        </w:rPr>
        <w:t>协商选定的物业服务第三方评估机构</w:t>
      </w:r>
      <w:r>
        <w:rPr>
          <w:rFonts w:hint="eastAsia" w:ascii="仿宋_GB2312" w:hAnsi="仿宋_GB2312" w:eastAsia="仿宋_GB2312" w:cs="仿宋_GB2312"/>
          <w:kern w:val="0"/>
        </w:rPr>
        <w:t>签订委托协议。</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kern w:val="0"/>
        </w:rPr>
        <w:t>评估结果自评估报告出具之日起一年内有效，并向全体业主</w:t>
      </w:r>
      <w:r>
        <w:rPr>
          <w:rFonts w:hint="eastAsia" w:ascii="仿宋_GB2312" w:hAnsi="仿宋_GB2312" w:eastAsia="仿宋_GB2312" w:cs="仿宋_GB2312"/>
          <w:kern w:val="0"/>
          <w:lang w:eastAsia="zh-CN"/>
        </w:rPr>
        <w:t>公示</w:t>
      </w:r>
      <w:r>
        <w:rPr>
          <w:rFonts w:hint="eastAsia" w:ascii="仿宋_GB2312" w:hAnsi="仿宋_GB2312" w:eastAsia="仿宋_GB2312" w:cs="仿宋_GB2312"/>
          <w:kern w:val="0"/>
        </w:rPr>
        <w:t>。评估报告有效期内，物业服务企业发生变更的，评估报告有效期限应当作出相应调整。</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黑体" w:hAnsi="黑体" w:eastAsia="黑体" w:cs="黑体"/>
          <w:color w:val="000000"/>
          <w:kern w:val="0"/>
          <w:lang w:eastAsia="zh-CN"/>
        </w:rPr>
        <w:t>第十三条</w:t>
      </w:r>
      <w:r>
        <w:rPr>
          <w:rFonts w:hint="eastAsia" w:ascii="仿宋_GB2312" w:hAnsi="仿宋_GB2312" w:eastAsia="仿宋_GB2312" w:cs="仿宋_GB2312"/>
          <w:b/>
          <w:bCs/>
          <w:color w:val="000000"/>
          <w:kern w:val="0"/>
          <w:lang w:val="en-US" w:eastAsia="zh-CN"/>
        </w:rPr>
        <w:t xml:space="preserve">  </w:t>
      </w:r>
      <w:r>
        <w:rPr>
          <w:rFonts w:hint="eastAsia" w:ascii="仿宋_GB2312" w:hAnsi="仿宋_GB2312" w:eastAsia="仿宋_GB2312" w:cs="仿宋_GB2312"/>
          <w:color w:val="000000"/>
          <w:kern w:val="0"/>
        </w:rPr>
        <w:t>业主、建设单位、物业服务企业选定</w:t>
      </w:r>
      <w:r>
        <w:rPr>
          <w:rFonts w:hint="eastAsia" w:ascii="仿宋_GB2312" w:hAnsi="仿宋_GB2312" w:eastAsia="仿宋_GB2312" w:cs="仿宋_GB2312"/>
          <w:color w:val="000000"/>
          <w:kern w:val="0"/>
          <w:lang w:eastAsia="zh-CN"/>
        </w:rPr>
        <w:t>物业服务第三方评估</w:t>
      </w:r>
      <w:r>
        <w:rPr>
          <w:rFonts w:hint="eastAsia" w:ascii="仿宋_GB2312" w:hAnsi="仿宋_GB2312" w:eastAsia="仿宋_GB2312" w:cs="仿宋_GB2312"/>
          <w:color w:val="000000"/>
          <w:kern w:val="0"/>
          <w:lang w:val="en-US" w:eastAsia="zh-CN"/>
        </w:rPr>
        <w:t>机构</w:t>
      </w:r>
      <w:r>
        <w:rPr>
          <w:rFonts w:hint="eastAsia" w:ascii="仿宋_GB2312" w:hAnsi="仿宋_GB2312" w:eastAsia="仿宋_GB2312" w:cs="仿宋_GB2312"/>
          <w:color w:val="000000"/>
          <w:kern w:val="0"/>
        </w:rPr>
        <w:t>协商不成的，业主可向</w:t>
      </w:r>
      <w:r>
        <w:rPr>
          <w:rFonts w:hint="eastAsia" w:ascii="仿宋_GB2312" w:hAnsi="仿宋_GB2312" w:eastAsia="仿宋_GB2312" w:cs="仿宋_GB2312"/>
          <w:color w:val="000000"/>
          <w:kern w:val="0"/>
          <w:lang w:eastAsia="zh-CN"/>
        </w:rPr>
        <w:t>县级</w:t>
      </w:r>
      <w:r>
        <w:rPr>
          <w:rFonts w:hint="eastAsia" w:ascii="仿宋_GB2312" w:hAnsi="仿宋_GB2312" w:eastAsia="仿宋_GB2312" w:cs="仿宋_GB2312"/>
          <w:color w:val="000000"/>
          <w:kern w:val="0"/>
        </w:rPr>
        <w:t>物业管理行政主管部门申请随机抽取</w:t>
      </w:r>
      <w:r>
        <w:rPr>
          <w:rFonts w:hint="eastAsia" w:ascii="仿宋_GB2312" w:hAnsi="仿宋_GB2312" w:eastAsia="仿宋_GB2312" w:cs="仿宋_GB2312"/>
          <w:color w:val="000000"/>
          <w:kern w:val="0"/>
          <w:lang w:eastAsia="zh-CN"/>
        </w:rPr>
        <w:t>物业服务第三方评估</w:t>
      </w:r>
      <w:r>
        <w:rPr>
          <w:rFonts w:hint="eastAsia" w:ascii="仿宋_GB2312" w:hAnsi="仿宋_GB2312" w:eastAsia="仿宋_GB2312" w:cs="仿宋_GB2312"/>
          <w:color w:val="000000"/>
          <w:kern w:val="0"/>
          <w:lang w:val="en-US" w:eastAsia="zh-CN"/>
        </w:rPr>
        <w:t>机构</w:t>
      </w:r>
      <w:r>
        <w:rPr>
          <w:rFonts w:hint="eastAsia" w:ascii="仿宋_GB2312" w:hAnsi="仿宋_GB2312" w:eastAsia="仿宋_GB2312" w:cs="仿宋_GB2312"/>
          <w:color w:val="000000"/>
          <w:kern w:val="0"/>
        </w:rPr>
        <w:t>，并提供下列材料：</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lang w:eastAsia="zh-CN"/>
        </w:rPr>
      </w:pPr>
      <w:r>
        <w:rPr>
          <w:rFonts w:hint="eastAsia" w:ascii="仿宋_GB2312" w:hAnsi="仿宋_GB2312" w:eastAsia="仿宋_GB2312" w:cs="仿宋_GB2312"/>
          <w:color w:val="000000"/>
          <w:kern w:val="0"/>
        </w:rPr>
        <w:t>（一）业主联名申请书、</w:t>
      </w:r>
      <w:r>
        <w:rPr>
          <w:rFonts w:hint="eastAsia" w:ascii="仿宋_GB2312" w:hAnsi="仿宋_GB2312" w:eastAsia="仿宋_GB2312" w:cs="仿宋_GB2312"/>
          <w:color w:val="000000"/>
          <w:kern w:val="0"/>
          <w:lang w:eastAsia="zh-CN"/>
        </w:rPr>
        <w:t>不动产权属证明；</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lang w:eastAsia="zh-CN"/>
        </w:rPr>
        <w:t>（二）</w:t>
      </w:r>
      <w:r>
        <w:rPr>
          <w:rFonts w:hint="eastAsia" w:ascii="仿宋_GB2312" w:hAnsi="仿宋_GB2312" w:eastAsia="仿宋_GB2312" w:cs="仿宋_GB2312"/>
          <w:color w:val="000000"/>
          <w:kern w:val="0"/>
        </w:rPr>
        <w:t>申请人代表身份证明和联系方式；</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w:t>
      </w:r>
      <w:r>
        <w:rPr>
          <w:rFonts w:hint="eastAsia" w:ascii="仿宋_GB2312" w:hAnsi="仿宋_GB2312" w:eastAsia="仿宋_GB2312" w:cs="仿宋_GB2312"/>
          <w:color w:val="000000"/>
          <w:kern w:val="0"/>
          <w:lang w:eastAsia="zh-CN"/>
        </w:rPr>
        <w:t>三</w:t>
      </w:r>
      <w:r>
        <w:rPr>
          <w:rFonts w:hint="eastAsia" w:ascii="仿宋_GB2312" w:hAnsi="仿宋_GB2312" w:eastAsia="仿宋_GB2312" w:cs="仿宋_GB2312"/>
          <w:color w:val="000000"/>
          <w:kern w:val="0"/>
        </w:rPr>
        <w:t>）前期物业服务合同；</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w:t>
      </w:r>
      <w:r>
        <w:rPr>
          <w:rFonts w:hint="eastAsia" w:ascii="仿宋_GB2312" w:hAnsi="仿宋_GB2312" w:eastAsia="仿宋_GB2312" w:cs="仿宋_GB2312"/>
          <w:color w:val="000000"/>
          <w:kern w:val="0"/>
          <w:lang w:eastAsia="zh-CN"/>
        </w:rPr>
        <w:t>四</w:t>
      </w:r>
      <w:r>
        <w:rPr>
          <w:rFonts w:hint="eastAsia" w:ascii="仿宋_GB2312" w:hAnsi="仿宋_GB2312" w:eastAsia="仿宋_GB2312" w:cs="仿宋_GB2312"/>
          <w:color w:val="000000"/>
          <w:kern w:val="0"/>
        </w:rPr>
        <w:t>）临时管理规约。</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lang w:eastAsia="zh-CN"/>
        </w:rPr>
        <w:t>县级</w:t>
      </w:r>
      <w:r>
        <w:rPr>
          <w:rFonts w:hint="eastAsia" w:ascii="仿宋_GB2312" w:hAnsi="仿宋_GB2312" w:eastAsia="仿宋_GB2312" w:cs="仿宋_GB2312"/>
          <w:color w:val="000000"/>
          <w:kern w:val="0"/>
        </w:rPr>
        <w:t>物业管理行政主管部门收到申请之日起</w:t>
      </w:r>
      <w:r>
        <w:rPr>
          <w:rFonts w:hint="eastAsia" w:ascii="仿宋_GB2312" w:hAnsi="仿宋_GB2312" w:eastAsia="仿宋_GB2312" w:cs="仿宋_GB2312"/>
          <w:color w:val="000000"/>
          <w:kern w:val="0"/>
          <w:lang w:eastAsia="zh-CN"/>
        </w:rPr>
        <w:t>五</w:t>
      </w:r>
      <w:r>
        <w:rPr>
          <w:rFonts w:hint="eastAsia" w:ascii="仿宋_GB2312" w:hAnsi="仿宋_GB2312" w:eastAsia="仿宋_GB2312" w:cs="仿宋_GB2312"/>
          <w:color w:val="000000"/>
          <w:kern w:val="0"/>
        </w:rPr>
        <w:t>个工作日内,会同申请人代表在</w:t>
      </w:r>
      <w:r>
        <w:rPr>
          <w:rFonts w:hint="eastAsia" w:ascii="仿宋_GB2312" w:hAnsi="仿宋_GB2312" w:eastAsia="仿宋_GB2312" w:cs="仿宋_GB2312"/>
          <w:color w:val="000000"/>
          <w:kern w:val="0"/>
          <w:lang w:eastAsia="zh-CN"/>
        </w:rPr>
        <w:t>物业服务第三方评估</w:t>
      </w:r>
      <w:r>
        <w:rPr>
          <w:rFonts w:hint="eastAsia" w:ascii="仿宋_GB2312" w:hAnsi="仿宋_GB2312" w:eastAsia="仿宋_GB2312" w:cs="仿宋_GB2312"/>
          <w:color w:val="000000"/>
          <w:kern w:val="0"/>
          <w:lang w:val="en-US" w:eastAsia="zh-CN"/>
        </w:rPr>
        <w:t>机构</w:t>
      </w:r>
      <w:r>
        <w:rPr>
          <w:rFonts w:hint="eastAsia" w:ascii="仿宋_GB2312" w:hAnsi="仿宋_GB2312" w:eastAsia="仿宋_GB2312" w:cs="仿宋_GB2312"/>
          <w:color w:val="000000"/>
          <w:kern w:val="0"/>
        </w:rPr>
        <w:t>名录中，通过摇号方式随机选取一家。</w:t>
      </w:r>
    </w:p>
    <w:p>
      <w:pPr>
        <w:keepNext w:val="0"/>
        <w:keepLines w:val="0"/>
        <w:pageBreakBefore w:val="0"/>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sz w:val="32"/>
          <w:szCs w:val="32"/>
        </w:rPr>
      </w:pPr>
      <w:r>
        <w:rPr>
          <w:rFonts w:hint="eastAsia" w:ascii="黑体" w:hAnsi="黑体" w:eastAsia="黑体" w:cs="黑体"/>
          <w:color w:val="000000"/>
          <w:kern w:val="0"/>
          <w:lang w:eastAsia="zh-CN"/>
        </w:rPr>
        <w:t>第十四条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建设单位向全体业主移交物业项目时，建设单位和全体业主</w:t>
      </w:r>
      <w:r>
        <w:rPr>
          <w:rFonts w:hint="eastAsia" w:ascii="仿宋_GB2312" w:hAnsi="仿宋_GB2312" w:eastAsia="仿宋_GB2312" w:cs="仿宋_GB2312"/>
          <w:sz w:val="32"/>
          <w:szCs w:val="32"/>
          <w:lang w:eastAsia="zh-CN"/>
        </w:rPr>
        <w:t>可以</w:t>
      </w:r>
      <w:r>
        <w:rPr>
          <w:rFonts w:hint="eastAsia" w:ascii="仿宋_GB2312" w:hAnsi="仿宋_GB2312" w:eastAsia="仿宋_GB2312" w:cs="仿宋_GB2312"/>
          <w:sz w:val="32"/>
          <w:szCs w:val="32"/>
        </w:rPr>
        <w:t>共同委托物业服务</w:t>
      </w:r>
      <w:r>
        <w:rPr>
          <w:rFonts w:hint="eastAsia" w:ascii="仿宋_GB2312" w:hAnsi="仿宋_GB2312" w:eastAsia="仿宋_GB2312" w:cs="仿宋_GB2312"/>
          <w:sz w:val="32"/>
          <w:szCs w:val="32"/>
          <w:lang w:eastAsia="zh-CN"/>
        </w:rPr>
        <w:t>第三方</w:t>
      </w:r>
      <w:r>
        <w:rPr>
          <w:rFonts w:hint="eastAsia" w:ascii="仿宋_GB2312" w:hAnsi="仿宋_GB2312" w:eastAsia="仿宋_GB2312" w:cs="仿宋_GB2312"/>
          <w:sz w:val="32"/>
          <w:szCs w:val="32"/>
        </w:rPr>
        <w:t>评估机构进行</w:t>
      </w:r>
      <w:r>
        <w:rPr>
          <w:rFonts w:hint="eastAsia" w:ascii="仿宋_GB2312" w:hAnsi="仿宋_GB2312" w:eastAsia="仿宋_GB2312" w:cs="仿宋_GB2312"/>
          <w:sz w:val="32"/>
          <w:szCs w:val="32"/>
          <w:lang w:eastAsia="zh-CN"/>
        </w:rPr>
        <w:t>交接和</w:t>
      </w:r>
      <w:r>
        <w:rPr>
          <w:rFonts w:hint="eastAsia" w:ascii="仿宋_GB2312" w:hAnsi="仿宋_GB2312" w:eastAsia="仿宋_GB2312" w:cs="仿宋_GB2312"/>
          <w:sz w:val="32"/>
          <w:szCs w:val="32"/>
        </w:rPr>
        <w:t>查验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由建设单位承担评估费用。</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全体业主选聘新的物业服务企业、其他管理人或自行管理时，可以共同委托物业服务</w:t>
      </w:r>
      <w:r>
        <w:rPr>
          <w:rFonts w:hint="eastAsia" w:ascii="仿宋_GB2312" w:hAnsi="仿宋_GB2312" w:eastAsia="仿宋_GB2312" w:cs="仿宋_GB2312"/>
          <w:sz w:val="32"/>
          <w:szCs w:val="32"/>
          <w:lang w:eastAsia="zh-CN"/>
        </w:rPr>
        <w:t>第三方</w:t>
      </w:r>
      <w:r>
        <w:rPr>
          <w:rFonts w:hint="eastAsia" w:ascii="仿宋_GB2312" w:hAnsi="仿宋_GB2312" w:eastAsia="仿宋_GB2312" w:cs="仿宋_GB2312"/>
          <w:sz w:val="32"/>
          <w:szCs w:val="32"/>
        </w:rPr>
        <w:t>评估机构进行查验。</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color w:val="000000"/>
          <w:kern w:val="0"/>
          <w:lang w:eastAsia="zh-CN"/>
        </w:rPr>
        <w:t>第十五条</w:t>
      </w:r>
      <w:r>
        <w:rPr>
          <w:rFonts w:hint="eastAsia" w:ascii="黑体" w:hAnsi="黑体" w:eastAsia="黑体" w:cs="黑体"/>
          <w:color w:val="000000"/>
          <w:kern w:val="0"/>
          <w:lang w:val="en-US" w:eastAsia="zh-CN"/>
        </w:rPr>
        <w:t xml:space="preserve">  </w:t>
      </w:r>
      <w:r>
        <w:rPr>
          <w:rFonts w:hint="eastAsia" w:ascii="仿宋_GB2312" w:hAnsi="仿宋_GB2312" w:eastAsia="仿宋_GB2312" w:cs="仿宋_GB2312"/>
          <w:sz w:val="32"/>
          <w:szCs w:val="32"/>
          <w:lang w:eastAsia="zh-CN"/>
        </w:rPr>
        <w:t>建设单位应当在销售房屋前确定物业服务内容、质量和收费项目、标准，从</w:t>
      </w:r>
      <w:r>
        <w:rPr>
          <w:rFonts w:hint="eastAsia" w:ascii="仿宋_GB2312" w:hAnsi="仿宋_GB2312" w:eastAsia="仿宋_GB2312" w:cs="仿宋_GB2312"/>
          <w:color w:val="000000"/>
          <w:kern w:val="0"/>
        </w:rPr>
        <w:t>本市物业服务</w:t>
      </w:r>
      <w:r>
        <w:rPr>
          <w:rFonts w:hint="eastAsia" w:ascii="仿宋_GB2312" w:hAnsi="仿宋_GB2312" w:eastAsia="仿宋_GB2312" w:cs="仿宋_GB2312"/>
          <w:color w:val="000000"/>
          <w:kern w:val="0"/>
          <w:lang w:eastAsia="zh-CN"/>
        </w:rPr>
        <w:t>第三方评估</w:t>
      </w:r>
      <w:r>
        <w:rPr>
          <w:rFonts w:hint="eastAsia" w:ascii="仿宋_GB2312" w:hAnsi="仿宋_GB2312" w:eastAsia="仿宋_GB2312" w:cs="仿宋_GB2312"/>
          <w:color w:val="000000"/>
          <w:kern w:val="0"/>
        </w:rPr>
        <w:t>机构名录</w:t>
      </w:r>
      <w:r>
        <w:rPr>
          <w:rFonts w:hint="eastAsia" w:ascii="仿宋_GB2312" w:hAnsi="仿宋_GB2312" w:eastAsia="仿宋_GB2312" w:cs="仿宋_GB2312"/>
          <w:color w:val="000000"/>
          <w:kern w:val="0"/>
          <w:lang w:eastAsia="zh-CN"/>
        </w:rPr>
        <w:t>中</w:t>
      </w:r>
      <w:r>
        <w:rPr>
          <w:rFonts w:hint="eastAsia" w:ascii="仿宋_GB2312" w:hAnsi="仿宋_GB2312" w:eastAsia="仿宋_GB2312" w:cs="仿宋_GB2312"/>
          <w:sz w:val="32"/>
          <w:szCs w:val="32"/>
          <w:lang w:eastAsia="zh-CN"/>
        </w:rPr>
        <w:t>，随机抽取物业服务第三方评估机构对服务费用进行测算，并写入房屋买卖合同和前期物业服务合同。建设单位应当同时向物业服务第三方评估机构提供项目类型、建筑面积、共用设施设备情况、拟承诺的服务事项及标准等相关资料。</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业主大会首次选聘或更换物业服务企业时，可以委托物业服务第三方评估机构进行物业服务费用评估。</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黑体" w:hAnsi="黑体" w:eastAsia="黑体" w:cs="黑体"/>
          <w:color w:val="000000"/>
          <w:kern w:val="0"/>
          <w:lang w:eastAsia="zh-CN"/>
        </w:rPr>
        <w:t>第十六条</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rPr>
        <w:t>建设单位、物业服务企业与相关当事人应当协助</w:t>
      </w:r>
      <w:r>
        <w:rPr>
          <w:rFonts w:hint="eastAsia" w:ascii="仿宋_GB2312" w:hAnsi="仿宋_GB2312" w:eastAsia="仿宋_GB2312" w:cs="仿宋_GB2312"/>
          <w:color w:val="000000"/>
          <w:kern w:val="0"/>
          <w:lang w:eastAsia="zh-CN"/>
        </w:rPr>
        <w:t>物业服务第三方评估</w:t>
      </w:r>
      <w:r>
        <w:rPr>
          <w:rFonts w:hint="eastAsia" w:ascii="仿宋_GB2312" w:hAnsi="仿宋_GB2312" w:eastAsia="仿宋_GB2312" w:cs="仿宋_GB2312"/>
          <w:color w:val="000000"/>
          <w:kern w:val="0"/>
          <w:lang w:val="en-US" w:eastAsia="zh-CN"/>
        </w:rPr>
        <w:t>机构</w:t>
      </w:r>
      <w:r>
        <w:rPr>
          <w:rFonts w:hint="eastAsia" w:ascii="仿宋_GB2312" w:hAnsi="仿宋_GB2312" w:eastAsia="仿宋_GB2312" w:cs="仿宋_GB2312"/>
          <w:color w:val="000000"/>
          <w:kern w:val="0"/>
        </w:rPr>
        <w:t>进行实地查勘，如实向</w:t>
      </w:r>
      <w:r>
        <w:rPr>
          <w:rFonts w:hint="eastAsia" w:ascii="仿宋_GB2312" w:hAnsi="仿宋_GB2312" w:eastAsia="仿宋_GB2312" w:cs="仿宋_GB2312"/>
          <w:color w:val="000000"/>
          <w:kern w:val="0"/>
          <w:lang w:eastAsia="zh-CN"/>
        </w:rPr>
        <w:t>评估机构</w:t>
      </w:r>
      <w:r>
        <w:rPr>
          <w:rFonts w:hint="eastAsia" w:ascii="仿宋_GB2312" w:hAnsi="仿宋_GB2312" w:eastAsia="仿宋_GB2312" w:cs="仿宋_GB2312"/>
          <w:color w:val="000000"/>
          <w:kern w:val="0"/>
        </w:rPr>
        <w:t>提供必要的资料，并对其所提供资料的真实性负责。</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在评估活动中，建设单位、物业服务企业或相关当事人不配合、不提供相关资料的，</w:t>
      </w:r>
      <w:r>
        <w:rPr>
          <w:rFonts w:hint="eastAsia" w:ascii="仿宋_GB2312" w:hAnsi="仿宋_GB2312" w:eastAsia="仿宋_GB2312" w:cs="仿宋_GB2312"/>
          <w:color w:val="000000"/>
          <w:kern w:val="0"/>
          <w:lang w:eastAsia="zh-CN"/>
        </w:rPr>
        <w:t>物业服务第三方评估</w:t>
      </w:r>
      <w:r>
        <w:rPr>
          <w:rFonts w:hint="eastAsia" w:ascii="仿宋_GB2312" w:hAnsi="仿宋_GB2312" w:eastAsia="仿宋_GB2312" w:cs="仿宋_GB2312"/>
          <w:color w:val="000000"/>
          <w:kern w:val="0"/>
          <w:lang w:val="en-US" w:eastAsia="zh-CN"/>
        </w:rPr>
        <w:t>机构</w:t>
      </w:r>
      <w:r>
        <w:rPr>
          <w:rFonts w:hint="eastAsia" w:ascii="仿宋_GB2312" w:hAnsi="仿宋_GB2312" w:eastAsia="仿宋_GB2312" w:cs="仿宋_GB2312"/>
          <w:color w:val="000000"/>
          <w:kern w:val="0"/>
        </w:rPr>
        <w:t>应当在评估报告中说明有关情况。</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黑体" w:hAnsi="黑体" w:eastAsia="黑体" w:cs="黑体"/>
          <w:color w:val="000000"/>
          <w:kern w:val="0"/>
          <w:lang w:eastAsia="zh-CN"/>
        </w:rPr>
        <w:t>第十七条</w:t>
      </w:r>
      <w:r>
        <w:rPr>
          <w:rFonts w:hint="eastAsia" w:ascii="仿宋_GB2312" w:hAnsi="仿宋_GB2312" w:eastAsia="仿宋_GB2312" w:cs="仿宋_GB2312"/>
          <w:b/>
          <w:bCs/>
          <w:color w:val="000000"/>
          <w:kern w:val="0"/>
        </w:rPr>
        <w:t xml:space="preserve"> </w:t>
      </w:r>
      <w:r>
        <w:rPr>
          <w:rFonts w:hint="eastAsia" w:ascii="仿宋_GB2312" w:hAnsi="仿宋_GB2312" w:eastAsia="仿宋_GB2312" w:cs="仿宋_GB2312"/>
          <w:b/>
          <w:bCs/>
          <w:color w:val="000000"/>
          <w:kern w:val="0"/>
          <w:lang w:val="en-US" w:eastAsia="zh-CN"/>
        </w:rPr>
        <w:t xml:space="preserve"> </w:t>
      </w:r>
      <w:r>
        <w:rPr>
          <w:rFonts w:hint="eastAsia" w:ascii="仿宋_GB2312" w:hAnsi="仿宋_GB2312" w:eastAsia="仿宋_GB2312" w:cs="仿宋_GB2312"/>
          <w:color w:val="000000"/>
          <w:kern w:val="0"/>
        </w:rPr>
        <w:t>评估报告应当包括：</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（一）评估目的、依据和方法；</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（二）评估日期和基准日；</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lang w:eastAsia="zh-CN"/>
        </w:rPr>
      </w:pPr>
      <w:r>
        <w:rPr>
          <w:rFonts w:hint="eastAsia" w:ascii="仿宋_GB2312" w:hAnsi="仿宋_GB2312" w:eastAsia="仿宋_GB2312" w:cs="仿宋_GB2312"/>
          <w:color w:val="000000"/>
          <w:kern w:val="0"/>
        </w:rPr>
        <w:t>（三）评估收集资料和查勘数据</w:t>
      </w:r>
      <w:r>
        <w:rPr>
          <w:rFonts w:hint="eastAsia" w:ascii="仿宋_GB2312" w:hAnsi="仿宋_GB2312" w:eastAsia="仿宋_GB2312" w:cs="仿宋_GB2312"/>
          <w:color w:val="000000"/>
          <w:kern w:val="0"/>
          <w:lang w:eastAsia="zh-CN"/>
        </w:rPr>
        <w:t>；</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lang w:eastAsia="zh-CN"/>
        </w:rPr>
        <w:t>（四）</w:t>
      </w:r>
      <w:r>
        <w:rPr>
          <w:rFonts w:hint="eastAsia" w:ascii="仿宋_GB2312" w:hAnsi="仿宋_GB2312" w:eastAsia="仿宋_GB2312" w:cs="仿宋_GB2312"/>
          <w:color w:val="000000"/>
          <w:kern w:val="0"/>
        </w:rPr>
        <w:t>评估结果及有效期限；</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w:t>
      </w:r>
      <w:r>
        <w:rPr>
          <w:rFonts w:hint="eastAsia" w:ascii="仿宋_GB2312" w:hAnsi="仿宋_GB2312" w:eastAsia="仿宋_GB2312" w:cs="仿宋_GB2312"/>
          <w:color w:val="000000"/>
          <w:kern w:val="0"/>
          <w:lang w:eastAsia="zh-CN"/>
        </w:rPr>
        <w:t>五</w:t>
      </w:r>
      <w:r>
        <w:rPr>
          <w:rFonts w:hint="eastAsia" w:ascii="仿宋_GB2312" w:hAnsi="仿宋_GB2312" w:eastAsia="仿宋_GB2312" w:cs="仿宋_GB2312"/>
          <w:color w:val="000000"/>
          <w:kern w:val="0"/>
        </w:rPr>
        <w:t>）</w:t>
      </w:r>
      <w:r>
        <w:rPr>
          <w:rFonts w:hint="eastAsia" w:ascii="仿宋_GB2312" w:hAnsi="仿宋_GB2312" w:eastAsia="仿宋_GB2312" w:cs="仿宋_GB2312"/>
          <w:color w:val="000000"/>
          <w:kern w:val="0"/>
          <w:lang w:eastAsia="zh-CN"/>
        </w:rPr>
        <w:t>评估</w:t>
      </w:r>
      <w:r>
        <w:rPr>
          <w:rFonts w:hint="eastAsia" w:ascii="仿宋_GB2312" w:hAnsi="仿宋_GB2312" w:eastAsia="仿宋_GB2312" w:cs="仿宋_GB2312"/>
          <w:color w:val="000000"/>
          <w:kern w:val="0"/>
          <w:lang w:val="en-US" w:eastAsia="zh-CN"/>
        </w:rPr>
        <w:t>机构</w:t>
      </w:r>
      <w:r>
        <w:rPr>
          <w:rFonts w:hint="eastAsia" w:ascii="仿宋_GB2312" w:hAnsi="仿宋_GB2312" w:eastAsia="仿宋_GB2312" w:cs="仿宋_GB2312"/>
          <w:color w:val="000000"/>
          <w:kern w:val="0"/>
        </w:rPr>
        <w:t>公章和评估人员签章。</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rPr>
      </w:pPr>
      <w:r>
        <w:rPr>
          <w:rFonts w:hint="eastAsia" w:ascii="黑体" w:hAnsi="黑体" w:eastAsia="黑体" w:cs="黑体"/>
          <w:color w:val="000000"/>
          <w:kern w:val="0"/>
          <w:lang w:eastAsia="zh-CN"/>
        </w:rPr>
        <w:t>第十八条</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lang w:eastAsia="zh-CN"/>
        </w:rPr>
        <w:t>物业第三方评估</w:t>
      </w:r>
      <w:r>
        <w:rPr>
          <w:rFonts w:hint="eastAsia" w:ascii="仿宋_GB2312" w:hAnsi="仿宋_GB2312" w:eastAsia="仿宋_GB2312" w:cs="仿宋_GB2312"/>
          <w:color w:val="000000"/>
          <w:kern w:val="0"/>
          <w:lang w:val="en-US" w:eastAsia="zh-CN"/>
        </w:rPr>
        <w:t>机构</w:t>
      </w:r>
      <w:r>
        <w:rPr>
          <w:rFonts w:hint="eastAsia" w:ascii="仿宋_GB2312" w:hAnsi="仿宋_GB2312" w:eastAsia="仿宋_GB2312" w:cs="仿宋_GB2312"/>
          <w:color w:val="000000"/>
          <w:kern w:val="0"/>
        </w:rPr>
        <w:t>应当保持评估档案资料的齐全完整，评估报告及相关资料保管期限不得低于</w:t>
      </w:r>
      <w:r>
        <w:rPr>
          <w:rFonts w:hint="eastAsia" w:ascii="仿宋_GB2312" w:hAnsi="仿宋_GB2312" w:eastAsia="仿宋_GB2312" w:cs="仿宋_GB2312"/>
          <w:color w:val="000000"/>
          <w:kern w:val="0"/>
          <w:lang w:eastAsia="zh-CN"/>
        </w:rPr>
        <w:t>三</w:t>
      </w:r>
      <w:r>
        <w:rPr>
          <w:rFonts w:hint="eastAsia" w:ascii="仿宋_GB2312" w:hAnsi="仿宋_GB2312" w:eastAsia="仿宋_GB2312" w:cs="仿宋_GB2312"/>
          <w:color w:val="000000"/>
          <w:kern w:val="0"/>
        </w:rPr>
        <w:t>年。</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lang w:eastAsia="zh-CN"/>
        </w:rPr>
      </w:pPr>
      <w:r>
        <w:rPr>
          <w:rFonts w:hint="eastAsia" w:ascii="仿宋_GB2312" w:hAnsi="仿宋_GB2312" w:eastAsia="仿宋_GB2312" w:cs="仿宋_GB2312"/>
          <w:color w:val="000000"/>
          <w:kern w:val="0"/>
          <w:lang w:eastAsia="zh-CN"/>
        </w:rPr>
        <w:t>物业服务企业、业主自治组织应当做好物业服务交接和查验、物业服务质量、物业服务费用等评估报告的归档工作，其摘要文本在物业管理区域内予以公示。</w:t>
      </w:r>
    </w:p>
    <w:p>
      <w:pPr>
        <w:keepNext w:val="0"/>
        <w:keepLines w:val="0"/>
        <w:pageBreakBefore w:val="0"/>
        <w:widowControl/>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sz w:val="32"/>
          <w:szCs w:val="32"/>
        </w:rPr>
      </w:pPr>
      <w:r>
        <w:rPr>
          <w:rFonts w:hint="eastAsia" w:ascii="黑体" w:hAnsi="黑体" w:eastAsia="黑体" w:cs="黑体"/>
          <w:color w:val="000000"/>
          <w:kern w:val="0"/>
          <w:lang w:val="en-US" w:eastAsia="zh-CN"/>
        </w:rPr>
        <w:t>第十九条</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物业服务评估委托方或与评估报告利益相关方对</w:t>
      </w:r>
      <w:r>
        <w:rPr>
          <w:rFonts w:hint="eastAsia" w:ascii="仿宋_GB2312" w:hAnsi="仿宋_GB2312" w:eastAsia="仿宋_GB2312" w:cs="仿宋_GB2312"/>
          <w:color w:val="000000"/>
          <w:sz w:val="32"/>
          <w:szCs w:val="32"/>
          <w:lang w:eastAsia="zh-CN"/>
        </w:rPr>
        <w:t>物业服务第三方评估</w:t>
      </w:r>
      <w:r>
        <w:rPr>
          <w:rFonts w:hint="eastAsia" w:ascii="仿宋_GB2312" w:hAnsi="仿宋_GB2312" w:eastAsia="仿宋_GB2312" w:cs="仿宋_GB2312"/>
          <w:color w:val="000000"/>
          <w:sz w:val="32"/>
          <w:szCs w:val="32"/>
          <w:lang w:val="en-US" w:eastAsia="zh-CN"/>
        </w:rPr>
        <w:t>机构</w:t>
      </w:r>
      <w:r>
        <w:rPr>
          <w:rFonts w:hint="eastAsia" w:ascii="仿宋_GB2312" w:hAnsi="仿宋_GB2312" w:eastAsia="仿宋_GB2312" w:cs="仿宋_GB2312"/>
          <w:color w:val="000000"/>
          <w:sz w:val="32"/>
          <w:szCs w:val="32"/>
        </w:rPr>
        <w:t>出具的评估报告有异议的，应当自收到评估报告之日起</w:t>
      </w:r>
      <w:r>
        <w:rPr>
          <w:rFonts w:hint="eastAsia" w:ascii="仿宋_GB2312" w:hAnsi="仿宋_GB2312" w:eastAsia="仿宋_GB2312" w:cs="仿宋_GB2312"/>
          <w:color w:val="000000"/>
          <w:sz w:val="32"/>
          <w:szCs w:val="32"/>
          <w:lang w:eastAsia="zh-CN"/>
        </w:rPr>
        <w:t>二十</w:t>
      </w:r>
      <w:r>
        <w:rPr>
          <w:rFonts w:hint="eastAsia" w:ascii="仿宋_GB2312" w:hAnsi="仿宋_GB2312" w:eastAsia="仿宋_GB2312" w:cs="仿宋_GB2312"/>
          <w:color w:val="000000"/>
          <w:sz w:val="32"/>
          <w:szCs w:val="32"/>
        </w:rPr>
        <w:t>日内</w:t>
      </w:r>
      <w:r>
        <w:rPr>
          <w:rFonts w:hint="eastAsia" w:ascii="仿宋_GB2312" w:hAnsi="仿宋_GB2312" w:eastAsia="仿宋_GB2312" w:cs="仿宋_GB2312"/>
          <w:color w:val="000000"/>
          <w:sz w:val="32"/>
          <w:szCs w:val="32"/>
          <w:lang w:eastAsia="zh-CN"/>
        </w:rPr>
        <w:t>书面</w:t>
      </w:r>
      <w:r>
        <w:rPr>
          <w:rFonts w:hint="eastAsia" w:ascii="仿宋_GB2312" w:hAnsi="仿宋_GB2312" w:eastAsia="仿宋_GB2312" w:cs="仿宋_GB2312"/>
          <w:color w:val="000000"/>
          <w:sz w:val="32"/>
          <w:szCs w:val="32"/>
        </w:rPr>
        <w:t>向出具评估报告的</w:t>
      </w:r>
      <w:r>
        <w:rPr>
          <w:rFonts w:hint="eastAsia" w:ascii="仿宋_GB2312" w:hAnsi="仿宋_GB2312" w:eastAsia="仿宋_GB2312" w:cs="仿宋_GB2312"/>
          <w:color w:val="000000"/>
          <w:sz w:val="32"/>
          <w:szCs w:val="32"/>
          <w:lang w:eastAsia="zh-CN"/>
        </w:rPr>
        <w:t>评估</w:t>
      </w:r>
      <w:r>
        <w:rPr>
          <w:rFonts w:hint="eastAsia" w:ascii="仿宋_GB2312" w:hAnsi="仿宋_GB2312" w:eastAsia="仿宋_GB2312" w:cs="仿宋_GB2312"/>
          <w:color w:val="000000"/>
          <w:sz w:val="32"/>
          <w:szCs w:val="32"/>
          <w:lang w:val="en-US" w:eastAsia="zh-CN"/>
        </w:rPr>
        <w:t>机构</w:t>
      </w:r>
      <w:r>
        <w:rPr>
          <w:rFonts w:hint="eastAsia" w:ascii="仿宋_GB2312" w:hAnsi="仿宋_GB2312" w:eastAsia="仿宋_GB2312" w:cs="仿宋_GB2312"/>
          <w:color w:val="000000"/>
          <w:sz w:val="32"/>
          <w:szCs w:val="32"/>
        </w:rPr>
        <w:t>提出。出具评估报告的</w:t>
      </w:r>
      <w:r>
        <w:rPr>
          <w:rFonts w:hint="eastAsia" w:ascii="仿宋_GB2312" w:hAnsi="仿宋_GB2312" w:eastAsia="仿宋_GB2312" w:cs="仿宋_GB2312"/>
          <w:color w:val="000000"/>
          <w:sz w:val="32"/>
          <w:szCs w:val="32"/>
          <w:lang w:eastAsia="zh-CN"/>
        </w:rPr>
        <w:t>物业服务第三方评估</w:t>
      </w:r>
      <w:r>
        <w:rPr>
          <w:rFonts w:hint="eastAsia" w:ascii="仿宋_GB2312" w:hAnsi="仿宋_GB2312" w:eastAsia="仿宋_GB2312" w:cs="仿宋_GB2312"/>
          <w:color w:val="000000"/>
          <w:sz w:val="32"/>
          <w:szCs w:val="32"/>
          <w:lang w:val="en-US" w:eastAsia="zh-CN"/>
        </w:rPr>
        <w:t>机构</w:t>
      </w:r>
      <w:r>
        <w:rPr>
          <w:rFonts w:hint="eastAsia" w:ascii="仿宋_GB2312" w:hAnsi="仿宋_GB2312" w:eastAsia="仿宋_GB2312" w:cs="仿宋_GB2312"/>
          <w:color w:val="000000"/>
          <w:sz w:val="32"/>
          <w:szCs w:val="32"/>
        </w:rPr>
        <w:t>应当自收到书面异议申请之日起</w:t>
      </w:r>
      <w:r>
        <w:rPr>
          <w:rFonts w:hint="eastAsia" w:ascii="仿宋_GB2312" w:hAnsi="仿宋_GB2312" w:eastAsia="仿宋_GB2312" w:cs="仿宋_GB2312"/>
          <w:color w:val="000000"/>
          <w:sz w:val="32"/>
          <w:szCs w:val="32"/>
          <w:lang w:eastAsia="zh-CN"/>
        </w:rPr>
        <w:t>七</w:t>
      </w:r>
      <w:r>
        <w:rPr>
          <w:rFonts w:hint="eastAsia" w:ascii="仿宋_GB2312" w:hAnsi="仿宋_GB2312" w:eastAsia="仿宋_GB2312" w:cs="仿宋_GB2312"/>
          <w:color w:val="000000"/>
          <w:sz w:val="32"/>
          <w:szCs w:val="32"/>
        </w:rPr>
        <w:t>日内对异议进行复核。复核后改变原评估结果的，应当重新出具评估报告；维持原评估结果的，应当书面告知异议申请人。</w:t>
      </w:r>
    </w:p>
    <w:p>
      <w:pPr>
        <w:pStyle w:val="2"/>
        <w:keepNext w:val="0"/>
        <w:keepLines w:val="0"/>
        <w:pageBreakBefore w:val="0"/>
        <w:shd w:val="clear" w:color="auto" w:fill="FFFFFF"/>
        <w:kinsoku/>
        <w:wordWrap/>
        <w:overflowPunct/>
        <w:topLinePunct w:val="0"/>
        <w:autoSpaceDE/>
        <w:autoSpaceDN/>
        <w:bidi w:val="0"/>
        <w:spacing w:beforeAutospacing="0" w:afterAutospacing="0" w:line="578" w:lineRule="exact"/>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物业服务第三方评估</w:t>
      </w:r>
      <w:r>
        <w:rPr>
          <w:rFonts w:hint="eastAsia" w:ascii="仿宋_GB2312" w:hAnsi="仿宋_GB2312" w:eastAsia="仿宋_GB2312" w:cs="仿宋_GB2312"/>
          <w:color w:val="000000"/>
          <w:sz w:val="32"/>
          <w:szCs w:val="32"/>
          <w:lang w:val="en-US" w:eastAsia="zh-CN"/>
        </w:rPr>
        <w:t>机构</w:t>
      </w:r>
      <w:r>
        <w:rPr>
          <w:rFonts w:hint="eastAsia" w:ascii="仿宋_GB2312" w:hAnsi="仿宋_GB2312" w:eastAsia="仿宋_GB2312" w:cs="仿宋_GB2312"/>
          <w:color w:val="000000"/>
          <w:sz w:val="32"/>
          <w:szCs w:val="32"/>
        </w:rPr>
        <w:t>未及时进行异议复核的，委托方可以向</w:t>
      </w:r>
      <w:r>
        <w:rPr>
          <w:rFonts w:hint="eastAsia" w:ascii="仿宋_GB2312" w:hAnsi="仿宋_GB2312" w:eastAsia="仿宋_GB2312" w:cs="仿宋_GB2312"/>
          <w:color w:val="000000"/>
          <w:sz w:val="32"/>
          <w:szCs w:val="32"/>
          <w:lang w:eastAsia="zh-CN"/>
        </w:rPr>
        <w:t>县级</w:t>
      </w:r>
      <w:r>
        <w:rPr>
          <w:rFonts w:hint="eastAsia" w:ascii="仿宋_GB2312" w:hAnsi="仿宋_GB2312" w:eastAsia="仿宋_GB2312" w:cs="仿宋_GB2312"/>
          <w:color w:val="000000"/>
          <w:sz w:val="32"/>
          <w:szCs w:val="32"/>
        </w:rPr>
        <w:t>物业管理行政主管部门申请，由</w:t>
      </w:r>
      <w:r>
        <w:rPr>
          <w:rFonts w:hint="eastAsia" w:ascii="仿宋_GB2312" w:hAnsi="仿宋_GB2312" w:eastAsia="仿宋_GB2312" w:cs="仿宋_GB2312"/>
          <w:color w:val="000000"/>
          <w:sz w:val="32"/>
          <w:szCs w:val="32"/>
          <w:lang w:eastAsia="zh-CN"/>
        </w:rPr>
        <w:t>县级</w:t>
      </w:r>
      <w:r>
        <w:rPr>
          <w:rFonts w:hint="eastAsia" w:ascii="仿宋_GB2312" w:hAnsi="仿宋_GB2312" w:eastAsia="仿宋_GB2312" w:cs="仿宋_GB2312"/>
          <w:color w:val="000000"/>
          <w:sz w:val="32"/>
          <w:szCs w:val="32"/>
        </w:rPr>
        <w:t>物业管理行政主管部门督促</w:t>
      </w:r>
      <w:r>
        <w:rPr>
          <w:rFonts w:hint="eastAsia" w:ascii="仿宋_GB2312" w:hAnsi="仿宋_GB2312" w:eastAsia="仿宋_GB2312" w:cs="仿宋_GB2312"/>
          <w:color w:val="000000"/>
          <w:sz w:val="32"/>
          <w:szCs w:val="32"/>
          <w:lang w:eastAsia="zh-CN"/>
        </w:rPr>
        <w:t>物业服务第三方评估</w:t>
      </w:r>
      <w:r>
        <w:rPr>
          <w:rFonts w:hint="eastAsia" w:ascii="仿宋_GB2312" w:hAnsi="仿宋_GB2312" w:eastAsia="仿宋_GB2312" w:cs="仿宋_GB2312"/>
          <w:color w:val="000000"/>
          <w:sz w:val="32"/>
          <w:szCs w:val="32"/>
          <w:lang w:val="en-US" w:eastAsia="zh-CN"/>
        </w:rPr>
        <w:t>机构</w:t>
      </w:r>
      <w:r>
        <w:rPr>
          <w:rFonts w:hint="eastAsia" w:ascii="仿宋_GB2312" w:hAnsi="仿宋_GB2312" w:eastAsia="仿宋_GB2312" w:cs="仿宋_GB2312"/>
          <w:color w:val="000000"/>
          <w:sz w:val="32"/>
          <w:szCs w:val="32"/>
        </w:rPr>
        <w:t>整改。</w:t>
      </w:r>
    </w:p>
    <w:p>
      <w:pPr>
        <w:pStyle w:val="2"/>
        <w:keepNext w:val="0"/>
        <w:keepLines w:val="0"/>
        <w:pageBreakBefore w:val="0"/>
        <w:shd w:val="clear" w:color="auto" w:fill="FFFFFF"/>
        <w:kinsoku/>
        <w:wordWrap/>
        <w:overflowPunct/>
        <w:topLinePunct w:val="0"/>
        <w:autoSpaceDE/>
        <w:autoSpaceDN/>
        <w:bidi w:val="0"/>
        <w:spacing w:beforeAutospacing="0" w:afterAutospacing="0" w:line="578" w:lineRule="exact"/>
        <w:ind w:firstLine="640" w:firstLineChars="200"/>
        <w:jc w:val="both"/>
        <w:rPr>
          <w:rFonts w:hint="eastAsia" w:ascii="仿宋_GB2312" w:hAnsi="仿宋_GB2312" w:eastAsia="仿宋_GB2312" w:cs="仿宋_GB2312"/>
          <w:color w:val="000000"/>
          <w:sz w:val="32"/>
          <w:szCs w:val="32"/>
        </w:rPr>
      </w:pPr>
      <w:r>
        <w:rPr>
          <w:rFonts w:hint="eastAsia" w:ascii="黑体" w:hAnsi="黑体" w:eastAsia="黑体" w:cs="黑体"/>
          <w:color w:val="000000"/>
          <w:kern w:val="0"/>
          <w:sz w:val="32"/>
          <w:szCs w:val="32"/>
          <w:lang w:val="en-US" w:eastAsia="zh-CN" w:bidi="ar-SA"/>
        </w:rPr>
        <w:t>第二十条</w:t>
      </w:r>
      <w:r>
        <w:rPr>
          <w:rFonts w:hint="eastAsia" w:ascii="仿宋_GB2312" w:hAnsi="仿宋_GB2312" w:eastAsia="仿宋_GB2312" w:cs="仿宋_GB2312"/>
          <w:b/>
          <w:bCs/>
          <w:color w:val="000000"/>
          <w:sz w:val="32"/>
          <w:szCs w:val="32"/>
          <w:lang w:val="en-US" w:eastAsia="zh-CN"/>
        </w:rPr>
        <w:t xml:space="preserve">  </w:t>
      </w:r>
      <w:r>
        <w:rPr>
          <w:rFonts w:hint="eastAsia" w:ascii="仿宋_GB2312" w:hAnsi="仿宋_GB2312" w:eastAsia="仿宋_GB2312" w:cs="仿宋_GB2312"/>
          <w:color w:val="000000"/>
          <w:sz w:val="32"/>
          <w:szCs w:val="32"/>
        </w:rPr>
        <w:t>物业服务评估委托方或与评估报告利益相关方对原</w:t>
      </w:r>
      <w:r>
        <w:rPr>
          <w:rFonts w:hint="eastAsia" w:ascii="仿宋_GB2312" w:hAnsi="仿宋_GB2312" w:eastAsia="仿宋_GB2312" w:cs="仿宋_GB2312"/>
          <w:color w:val="000000"/>
          <w:sz w:val="32"/>
          <w:szCs w:val="32"/>
          <w:lang w:eastAsia="zh-CN"/>
        </w:rPr>
        <w:t>物业服务第三方评估</w:t>
      </w:r>
      <w:r>
        <w:rPr>
          <w:rFonts w:hint="eastAsia" w:ascii="仿宋_GB2312" w:hAnsi="仿宋_GB2312" w:eastAsia="仿宋_GB2312" w:cs="仿宋_GB2312"/>
          <w:color w:val="000000"/>
          <w:sz w:val="32"/>
          <w:szCs w:val="32"/>
          <w:lang w:val="en-US" w:eastAsia="zh-CN"/>
        </w:rPr>
        <w:t>机构</w:t>
      </w:r>
      <w:r>
        <w:rPr>
          <w:rFonts w:hint="eastAsia" w:ascii="仿宋_GB2312" w:hAnsi="仿宋_GB2312" w:eastAsia="仿宋_GB2312" w:cs="仿宋_GB2312"/>
          <w:color w:val="000000"/>
          <w:sz w:val="32"/>
          <w:szCs w:val="32"/>
        </w:rPr>
        <w:t>的复核结果仍有异议的，应当自收到复核意见之日起</w:t>
      </w:r>
      <w:r>
        <w:rPr>
          <w:rFonts w:hint="eastAsia" w:ascii="仿宋_GB2312" w:hAnsi="仿宋_GB2312" w:eastAsia="仿宋_GB2312" w:cs="仿宋_GB2312"/>
          <w:color w:val="000000"/>
          <w:sz w:val="32"/>
          <w:szCs w:val="32"/>
          <w:lang w:eastAsia="zh-CN"/>
        </w:rPr>
        <w:t>七</w:t>
      </w:r>
      <w:r>
        <w:rPr>
          <w:rFonts w:hint="eastAsia" w:ascii="仿宋_GB2312" w:hAnsi="仿宋_GB2312" w:eastAsia="仿宋_GB2312" w:cs="仿宋_GB2312"/>
          <w:color w:val="000000"/>
          <w:sz w:val="32"/>
          <w:szCs w:val="32"/>
        </w:rPr>
        <w:t>日内</w:t>
      </w:r>
      <w:r>
        <w:rPr>
          <w:rFonts w:hint="eastAsia" w:ascii="仿宋_GB2312" w:hAnsi="仿宋_GB2312" w:eastAsia="仿宋_GB2312" w:cs="仿宋_GB2312"/>
          <w:color w:val="000000"/>
          <w:sz w:val="32"/>
          <w:szCs w:val="32"/>
          <w:lang w:eastAsia="zh-CN"/>
        </w:rPr>
        <w:t>书面</w:t>
      </w:r>
      <w:r>
        <w:rPr>
          <w:rFonts w:hint="eastAsia" w:ascii="仿宋_GB2312" w:hAnsi="仿宋_GB2312" w:eastAsia="仿宋_GB2312" w:cs="仿宋_GB2312"/>
          <w:color w:val="000000"/>
          <w:sz w:val="32"/>
          <w:szCs w:val="32"/>
        </w:rPr>
        <w:t>向物业服务评估专家委员会申请鉴定。物业服务评估专家委员会应当自收到书面申请之日起</w:t>
      </w:r>
      <w:r>
        <w:rPr>
          <w:rFonts w:hint="eastAsia" w:ascii="仿宋_GB2312" w:hAnsi="仿宋_GB2312" w:eastAsia="仿宋_GB2312" w:cs="仿宋_GB2312"/>
          <w:color w:val="000000"/>
          <w:sz w:val="32"/>
          <w:szCs w:val="32"/>
          <w:lang w:eastAsia="zh-CN"/>
        </w:rPr>
        <w:t>五</w:t>
      </w:r>
      <w:r>
        <w:rPr>
          <w:rFonts w:hint="eastAsia" w:ascii="仿宋_GB2312" w:hAnsi="仿宋_GB2312" w:eastAsia="仿宋_GB2312" w:cs="仿宋_GB2312"/>
          <w:color w:val="000000"/>
          <w:sz w:val="32"/>
          <w:szCs w:val="32"/>
        </w:rPr>
        <w:t>个工作日内选派成员组成</w:t>
      </w:r>
      <w:r>
        <w:rPr>
          <w:rFonts w:hint="eastAsia" w:ascii="仿宋_GB2312" w:hAnsi="仿宋_GB2312" w:eastAsia="仿宋_GB2312" w:cs="仿宋_GB2312"/>
          <w:color w:val="000000"/>
          <w:sz w:val="32"/>
          <w:szCs w:val="32"/>
          <w:lang w:eastAsia="zh-CN"/>
        </w:rPr>
        <w:t>三</w:t>
      </w:r>
      <w:r>
        <w:rPr>
          <w:rFonts w:hint="eastAsia" w:ascii="仿宋_GB2312" w:hAnsi="仿宋_GB2312" w:eastAsia="仿宋_GB2312" w:cs="仿宋_GB2312"/>
          <w:color w:val="000000"/>
          <w:sz w:val="32"/>
          <w:szCs w:val="32"/>
        </w:rPr>
        <w:t>人以上单数的专家组对评估结果进行鉴定，并向申请人和</w:t>
      </w:r>
      <w:r>
        <w:rPr>
          <w:rFonts w:hint="eastAsia" w:ascii="仿宋_GB2312" w:hAnsi="仿宋_GB2312" w:eastAsia="仿宋_GB2312" w:cs="仿宋_GB2312"/>
          <w:color w:val="000000"/>
          <w:sz w:val="32"/>
          <w:szCs w:val="32"/>
          <w:lang w:eastAsia="zh-CN"/>
        </w:rPr>
        <w:t>评估机构</w:t>
      </w:r>
      <w:r>
        <w:rPr>
          <w:rFonts w:hint="eastAsia" w:ascii="仿宋_GB2312" w:hAnsi="仿宋_GB2312" w:eastAsia="仿宋_GB2312" w:cs="仿宋_GB2312"/>
          <w:color w:val="000000"/>
          <w:sz w:val="32"/>
          <w:szCs w:val="32"/>
        </w:rPr>
        <w:t>出具书面鉴定意见。</w:t>
      </w:r>
    </w:p>
    <w:p>
      <w:pPr>
        <w:keepNext w:val="0"/>
        <w:keepLines w:val="0"/>
        <w:pageBreakBefore w:val="0"/>
        <w:widowControl/>
        <w:kinsoku/>
        <w:wordWrap/>
        <w:overflowPunct/>
        <w:topLinePunct w:val="0"/>
        <w:autoSpaceDE/>
        <w:autoSpaceDN/>
        <w:bidi w:val="0"/>
        <w:spacing w:line="578" w:lineRule="exact"/>
        <w:ind w:firstLine="570"/>
        <w:jc w:val="both"/>
        <w:rPr>
          <w:rFonts w:hint="eastAsia" w:ascii="仿宋" w:hAnsi="仿宋" w:eastAsia="仿宋" w:cs="仿宋"/>
          <w:b/>
          <w:bCs/>
          <w:color w:val="000000"/>
          <w:kern w:val="0"/>
        </w:rPr>
      </w:pPr>
    </w:p>
    <w:p>
      <w:pPr>
        <w:keepNext w:val="0"/>
        <w:keepLines w:val="0"/>
        <w:pageBreakBefore w:val="0"/>
        <w:widowControl/>
        <w:kinsoku/>
        <w:wordWrap/>
        <w:overflowPunct/>
        <w:topLinePunct w:val="0"/>
        <w:autoSpaceDE/>
        <w:autoSpaceDN/>
        <w:bidi w:val="0"/>
        <w:spacing w:line="578" w:lineRule="exact"/>
        <w:jc w:val="center"/>
        <w:rPr>
          <w:rFonts w:hint="eastAsia" w:ascii="黑体" w:hAnsi="黑体" w:eastAsia="黑体" w:cs="黑体"/>
          <w:b w:val="0"/>
          <w:bCs w:val="0"/>
          <w:color w:val="000000"/>
          <w:kern w:val="0"/>
          <w:sz w:val="36"/>
          <w:szCs w:val="36"/>
        </w:rPr>
      </w:pPr>
      <w:r>
        <w:rPr>
          <w:rFonts w:hint="eastAsia" w:ascii="黑体" w:hAnsi="黑体" w:eastAsia="黑体" w:cs="黑体"/>
          <w:b w:val="0"/>
          <w:bCs w:val="0"/>
          <w:color w:val="000000"/>
          <w:kern w:val="0"/>
          <w:sz w:val="36"/>
          <w:szCs w:val="36"/>
        </w:rPr>
        <w:t>第</w:t>
      </w:r>
      <w:r>
        <w:rPr>
          <w:rFonts w:hint="eastAsia" w:ascii="黑体" w:hAnsi="黑体" w:eastAsia="黑体" w:cs="黑体"/>
          <w:b w:val="0"/>
          <w:bCs w:val="0"/>
          <w:color w:val="000000"/>
          <w:kern w:val="0"/>
          <w:sz w:val="36"/>
          <w:szCs w:val="36"/>
          <w:lang w:eastAsia="zh-CN"/>
        </w:rPr>
        <w:t>四</w:t>
      </w:r>
      <w:r>
        <w:rPr>
          <w:rFonts w:hint="eastAsia" w:ascii="黑体" w:hAnsi="黑体" w:eastAsia="黑体" w:cs="黑体"/>
          <w:b w:val="0"/>
          <w:bCs w:val="0"/>
          <w:color w:val="000000"/>
          <w:kern w:val="0"/>
          <w:sz w:val="36"/>
          <w:szCs w:val="36"/>
        </w:rPr>
        <w:t>章 附则</w:t>
      </w:r>
    </w:p>
    <w:p>
      <w:pPr>
        <w:keepNext w:val="0"/>
        <w:keepLines w:val="0"/>
        <w:pageBreakBefore w:val="0"/>
        <w:widowControl/>
        <w:kinsoku/>
        <w:wordWrap/>
        <w:overflowPunct/>
        <w:topLinePunct w:val="0"/>
        <w:autoSpaceDE/>
        <w:autoSpaceDN/>
        <w:bidi w:val="0"/>
        <w:spacing w:line="578" w:lineRule="exact"/>
        <w:jc w:val="both"/>
        <w:rPr>
          <w:rFonts w:hint="eastAsia" w:ascii="黑体" w:hAnsi="黑体" w:eastAsia="黑体" w:cs="黑体"/>
          <w:b w:val="0"/>
          <w:bCs w:val="0"/>
          <w:color w:val="000000"/>
          <w:kern w:val="0"/>
        </w:rPr>
      </w:pPr>
    </w:p>
    <w:p>
      <w:pPr>
        <w:keepNext w:val="0"/>
        <w:keepLines w:val="0"/>
        <w:pageBreakBefore w:val="0"/>
        <w:kinsoku/>
        <w:wordWrap/>
        <w:overflowPunct/>
        <w:topLinePunct w:val="0"/>
        <w:autoSpaceDE/>
        <w:autoSpaceDN/>
        <w:bidi w:val="0"/>
        <w:spacing w:line="578" w:lineRule="exact"/>
        <w:ind w:firstLine="640" w:firstLineChars="200"/>
        <w:jc w:val="both"/>
        <w:rPr>
          <w:rFonts w:hint="eastAsia" w:ascii="仿宋_GB2312" w:hAnsi="仿宋_GB2312" w:eastAsia="仿宋_GB2312" w:cs="仿宋_GB2312"/>
          <w:color w:val="000000"/>
          <w:kern w:val="0"/>
          <w:lang w:eastAsia="zh-CN"/>
        </w:rPr>
        <w:sectPr>
          <w:pgSz w:w="11906" w:h="16838"/>
          <w:pgMar w:top="2098" w:right="1474" w:bottom="1984" w:left="1588" w:header="851" w:footer="992" w:gutter="0"/>
          <w:cols w:space="425" w:num="1"/>
          <w:docGrid w:type="lines" w:linePitch="312" w:charSpace="0"/>
        </w:sectPr>
      </w:pPr>
      <w:r>
        <w:rPr>
          <w:rFonts w:hint="eastAsia" w:ascii="黑体" w:hAnsi="黑体" w:eastAsia="黑体" w:cs="黑体"/>
          <w:color w:val="000000"/>
          <w:kern w:val="0"/>
          <w:lang w:eastAsia="zh-CN"/>
        </w:rPr>
        <w:t>第二十一条</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lang w:eastAsia="zh-CN"/>
        </w:rPr>
        <w:t>本办法自20</w:t>
      </w:r>
      <w:r>
        <w:rPr>
          <w:rFonts w:hint="eastAsia" w:ascii="仿宋_GB2312" w:hAnsi="仿宋_GB2312" w:eastAsia="仿宋_GB2312" w:cs="仿宋_GB2312"/>
          <w:color w:val="000000"/>
          <w:kern w:val="0"/>
          <w:lang w:val="en-US" w:eastAsia="zh-CN"/>
        </w:rPr>
        <w:t>20</w:t>
      </w:r>
      <w:r>
        <w:rPr>
          <w:rFonts w:hint="eastAsia" w:ascii="仿宋_GB2312" w:hAnsi="仿宋_GB2312" w:eastAsia="仿宋_GB2312" w:cs="仿宋_GB2312"/>
          <w:color w:val="000000"/>
          <w:kern w:val="0"/>
          <w:lang w:eastAsia="zh-CN"/>
        </w:rPr>
        <w:t>年</w:t>
      </w:r>
      <w:r>
        <w:rPr>
          <w:rFonts w:hint="eastAsia" w:ascii="仿宋_GB2312" w:hAnsi="仿宋_GB2312" w:eastAsia="仿宋_GB2312" w:cs="仿宋_GB2312"/>
          <w:color w:val="000000"/>
          <w:kern w:val="0"/>
          <w:lang w:val="en-US" w:eastAsia="zh-CN"/>
        </w:rPr>
        <w:t xml:space="preserve">  </w:t>
      </w:r>
      <w:r>
        <w:rPr>
          <w:rFonts w:hint="eastAsia" w:ascii="仿宋_GB2312" w:hAnsi="仿宋_GB2312" w:eastAsia="仿宋_GB2312" w:cs="仿宋_GB2312"/>
          <w:color w:val="000000"/>
          <w:kern w:val="0"/>
          <w:lang w:eastAsia="zh-CN"/>
        </w:rPr>
        <w:t>月  日起施行。</w:t>
      </w:r>
    </w:p>
    <w:p>
      <w:pPr>
        <w:keepNext w:val="0"/>
        <w:keepLines w:val="0"/>
        <w:pageBreakBefore w:val="0"/>
        <w:kinsoku/>
        <w:wordWrap/>
        <w:overflowPunct/>
        <w:topLinePunct w:val="0"/>
        <w:autoSpaceDE/>
        <w:autoSpaceDN/>
        <w:bidi w:val="0"/>
        <w:spacing w:line="578" w:lineRule="exact"/>
        <w:jc w:val="both"/>
        <w:rPr>
          <w:rFonts w:hint="eastAsia" w:ascii="黑体" w:hAnsi="黑体" w:eastAsia="黑体" w:cs="黑体"/>
          <w:color w:val="000000"/>
          <w:kern w:val="0"/>
          <w:lang w:eastAsia="zh-CN"/>
        </w:rPr>
      </w:pPr>
      <w:r>
        <w:rPr>
          <w:rFonts w:hint="eastAsia" w:ascii="黑体" w:hAnsi="黑体" w:eastAsia="黑体" w:cs="黑体"/>
          <w:color w:val="000000"/>
          <w:kern w:val="0"/>
          <w:lang w:eastAsia="zh-CN"/>
        </w:rPr>
        <w:t>附件</w:t>
      </w:r>
      <w:bookmarkStart w:id="0" w:name="_GoBack"/>
      <w:bookmarkEnd w:id="0"/>
    </w:p>
    <w:p>
      <w:pPr>
        <w:adjustRightInd/>
        <w:snapToGrid/>
        <w:spacing w:line="240" w:lineRule="auto"/>
        <w:jc w:val="center"/>
        <w:textAlignment w:val="auto"/>
        <w:rPr>
          <w:rFonts w:hint="eastAsia" w:ascii="方正小标宋_GBK" w:hAnsi="方正小标宋_GBK" w:eastAsia="方正小标宋_GBK" w:cs="方正小标宋_GBK"/>
          <w:snapToGrid w:val="0"/>
          <w:kern w:val="0"/>
          <w:sz w:val="44"/>
          <w:szCs w:val="44"/>
        </w:rPr>
      </w:pPr>
      <w:r>
        <w:rPr>
          <w:rFonts w:hint="eastAsia" w:ascii="方正小标宋_GBK" w:hAnsi="方正小标宋_GBK" w:eastAsia="方正小标宋_GBK" w:cs="方正小标宋_GBK"/>
          <w:snapToGrid w:val="0"/>
          <w:kern w:val="0"/>
          <w:sz w:val="44"/>
          <w:szCs w:val="44"/>
        </w:rPr>
        <w:t>南通市物业服务第三方评估技术导则</w:t>
      </w:r>
    </w:p>
    <w:p>
      <w:pPr>
        <w:adjustRightInd/>
        <w:snapToGrid/>
        <w:spacing w:line="240" w:lineRule="auto"/>
        <w:jc w:val="center"/>
        <w:textAlignment w:val="auto"/>
        <w:rPr>
          <w:rFonts w:hint="eastAsia" w:ascii="楷体" w:hAnsi="楷体" w:eastAsia="楷体" w:cs="楷体"/>
          <w:snapToGrid w:val="0"/>
          <w:kern w:val="0"/>
        </w:rPr>
      </w:pPr>
      <w:r>
        <w:rPr>
          <w:rFonts w:hint="eastAsia" w:ascii="楷体" w:hAnsi="楷体" w:eastAsia="楷体" w:cs="楷体"/>
          <w:snapToGrid w:val="0"/>
          <w:kern w:val="0"/>
        </w:rPr>
        <w:t>（试行）</w:t>
      </w:r>
    </w:p>
    <w:p>
      <w:pPr>
        <w:adjustRightInd/>
        <w:snapToGrid/>
        <w:spacing w:line="240" w:lineRule="auto"/>
        <w:textAlignment w:val="auto"/>
        <w:rPr>
          <w:rFonts w:hint="eastAsia" w:eastAsia="宋体" w:cs="仿宋_GB2312"/>
          <w:snapToGrid w:val="0"/>
          <w:kern w:val="0"/>
        </w:rPr>
      </w:pPr>
    </w:p>
    <w:p>
      <w:pPr>
        <w:adjustRightInd/>
        <w:snapToGrid/>
        <w:spacing w:line="240" w:lineRule="auto"/>
        <w:jc w:val="center"/>
        <w:textAlignment w:val="auto"/>
        <w:rPr>
          <w:rFonts w:hint="eastAsia" w:ascii="黑体" w:hAnsi="黑体" w:eastAsia="黑体" w:cs="黑体"/>
          <w:snapToGrid w:val="0"/>
          <w:kern w:val="0"/>
          <w:sz w:val="36"/>
          <w:szCs w:val="36"/>
        </w:rPr>
      </w:pPr>
      <w:r>
        <w:rPr>
          <w:rFonts w:hint="eastAsia" w:ascii="黑体" w:hAnsi="黑体" w:eastAsia="黑体" w:cs="黑体"/>
          <w:snapToGrid w:val="0"/>
          <w:kern w:val="0"/>
          <w:sz w:val="36"/>
          <w:szCs w:val="36"/>
        </w:rPr>
        <w:t>第一章</w:t>
      </w:r>
      <w:r>
        <w:rPr>
          <w:rFonts w:hint="eastAsia" w:ascii="黑体" w:hAnsi="黑体" w:eastAsia="黑体" w:cs="黑体"/>
          <w:snapToGrid w:val="0"/>
          <w:kern w:val="0"/>
          <w:sz w:val="36"/>
          <w:szCs w:val="36"/>
        </w:rPr>
        <w:tab/>
      </w:r>
      <w:r>
        <w:rPr>
          <w:rFonts w:hint="eastAsia" w:ascii="黑体" w:hAnsi="黑体" w:eastAsia="黑体" w:cs="黑体"/>
          <w:snapToGrid w:val="0"/>
          <w:kern w:val="0"/>
          <w:sz w:val="36"/>
          <w:szCs w:val="36"/>
        </w:rPr>
        <w:t>总则</w:t>
      </w:r>
    </w:p>
    <w:p>
      <w:pPr>
        <w:adjustRightInd/>
        <w:snapToGrid/>
        <w:spacing w:line="240" w:lineRule="auto"/>
        <w:jc w:val="center"/>
        <w:textAlignment w:val="auto"/>
        <w:rPr>
          <w:rFonts w:hint="eastAsia" w:ascii="黑体" w:hAnsi="黑体" w:eastAsia="黑体" w:cs="黑体"/>
          <w:snapToGrid w:val="0"/>
          <w:kern w:val="0"/>
          <w:sz w:val="36"/>
          <w:szCs w:val="36"/>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第一条 为了规范物业管理市场活动，维护物业管理各方主体合法权益，推动物业管理行业有序发展，根据国务院《物业管理条例》、《江苏省物业管理条例》、《南通市住宅物业管理条例》、《南通市物业服务第三方评估管理暂行办法》等法规和规范性文件的规定，制定本技术导则（以下简称“本导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第二条 本导则为本市行政区域内物业服务第三方评估机构（以下简称“物业评估机构”），开展物业服务第三方评估活动，提供参考性意见。</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第三条 本导则所称物业服务第三方评估，是指物业评估机构接受业主自治组织、建设单位、物业服务企业</w:t>
      </w:r>
      <w:r>
        <w:rPr>
          <w:rFonts w:hint="eastAsia" w:ascii="仿宋_GB2312" w:hAnsi="仿宋_GB2312" w:eastAsia="仿宋_GB2312" w:cs="仿宋_GB2312"/>
          <w:snapToGrid w:val="0"/>
          <w:kern w:val="0"/>
          <w:lang w:eastAsia="zh-CN"/>
        </w:rPr>
        <w:t>及政府购买服务</w:t>
      </w:r>
      <w:r>
        <w:rPr>
          <w:rFonts w:hint="eastAsia" w:ascii="仿宋_GB2312" w:hAnsi="仿宋_GB2312" w:eastAsia="仿宋_GB2312" w:cs="仿宋_GB2312"/>
          <w:snapToGrid w:val="0"/>
          <w:kern w:val="0"/>
        </w:rPr>
        <w:t>的委托，依照法律、法规规定和合同约定，就下列事项，开展专业评估服务的活动：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（一）物业服务质量评估；</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（二）前期物业管理项目承接查验评估；</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（三）物业共有部位和共用设施设备管理状况评估；</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（四）物业管理项目交接；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（五）物业管理项目服务标准和费用测算；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（六）首次业主大会筹备指导及业主自治活动过程指导；</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（七）其他需要评估的事项。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第四条 物业评估机构应当遵循公平、公正、诚实信用的原则，依照法律、法规和合同约定提供专业服务，出具的评估报告应当真实、客观、全面。</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第五条 物业评估机构出具的评估报告宜采用下列名称：</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（一）物业服务质量评估意见书；</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（二）前期物业管理项目承接查验意见书；</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（三）物业共有部位和共用设施设备管理状况评估意见书;</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（四）物业管理项目交接意见书；</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（五）物业服务标准和费用测算意见书。</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第六条 评估报告应包括下列内容：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（一）评估目的；</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（二）实施依据；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（三）实施方法；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（四）评估报告出具日期和基准日；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（五）有关责任提示；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（六）评估收集资料和查勘数据；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（七）评估活动实施完成后形成的结论性意见（评估结果）及有效期限；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（八）物业评估机构公章和评估人员签章。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第七条 物业评估机构出具的评估报告应有机构公章和责任人签章。评估过程中物业评估机构的各专业人员签字文件复印件应由物业评估机构加盖与原件相符的公章，作为评估报告附件。</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第八条 评估报告应当符合相关法律、法规、技术标准和委托合同约定，不得具有虚假内容、误导性陈述或者重大遗漏。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评估报告中的结论性意见（评估结果）没有建立在收集资料和查勘数据基础上的，属于虚假内容。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评估报告中的结论性意见（评估结果）没有根据质量检测、合同协议约定的专业技术规范客观陈述事实，而采用主观认定，故意放大或隐匿部分事实的，属于误导性陈述。</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评估报告的形式应按本导则第六条第一至八项排列完整，有缺项的，属于重大遗漏；评估报告内容构成应符合法律、法规、技术标准的规定和委托合同约定，有缺项的，属重大遗漏。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p>
    <w:p>
      <w:pPr>
        <w:adjustRightInd/>
        <w:snapToGrid/>
        <w:spacing w:line="240" w:lineRule="auto"/>
        <w:jc w:val="center"/>
        <w:textAlignment w:val="auto"/>
        <w:rPr>
          <w:rFonts w:hint="eastAsia" w:ascii="黑体" w:hAnsi="黑体" w:eastAsia="黑体" w:cs="黑体"/>
          <w:snapToGrid w:val="0"/>
          <w:kern w:val="0"/>
          <w:sz w:val="36"/>
          <w:szCs w:val="36"/>
        </w:rPr>
      </w:pPr>
      <w:r>
        <w:rPr>
          <w:rFonts w:hint="eastAsia" w:ascii="黑体" w:hAnsi="黑体" w:eastAsia="黑体" w:cs="黑体"/>
          <w:snapToGrid w:val="0"/>
          <w:kern w:val="0"/>
          <w:sz w:val="36"/>
          <w:szCs w:val="36"/>
        </w:rPr>
        <w:t>第二章</w:t>
      </w:r>
      <w:r>
        <w:rPr>
          <w:rFonts w:hint="eastAsia" w:ascii="黑体" w:hAnsi="黑体" w:eastAsia="黑体" w:cs="黑体"/>
          <w:snapToGrid w:val="0"/>
          <w:kern w:val="0"/>
          <w:sz w:val="36"/>
          <w:szCs w:val="36"/>
        </w:rPr>
        <w:tab/>
      </w:r>
      <w:r>
        <w:rPr>
          <w:rFonts w:hint="eastAsia" w:ascii="黑体" w:hAnsi="黑体" w:eastAsia="黑体" w:cs="黑体"/>
          <w:snapToGrid w:val="0"/>
          <w:kern w:val="0"/>
          <w:sz w:val="36"/>
          <w:szCs w:val="36"/>
        </w:rPr>
        <w:t>物业服务质量评估</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第九条 物业评估机构开展物业服务质量评估的，在提交的评估报告中，可以按下列方式描述评估目的：</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（一）查看物业服务合同（前期物业服务合同）的约定事项是否完整、明确；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（二）核验物业服务企业履约情况、各分项服务质量（含人员</w:t>
      </w:r>
      <w:r>
        <w:rPr>
          <w:rFonts w:hint="eastAsia" w:ascii="仿宋_GB2312" w:hAnsi="仿宋_GB2312" w:eastAsia="仿宋_GB2312" w:cs="仿宋_GB2312"/>
          <w:snapToGrid w:val="0"/>
          <w:kern w:val="0"/>
          <w:lang w:eastAsia="zh-CN"/>
        </w:rPr>
        <w:t>配置</w:t>
      </w:r>
      <w:r>
        <w:rPr>
          <w:rFonts w:hint="eastAsia" w:ascii="仿宋_GB2312" w:hAnsi="仿宋_GB2312" w:eastAsia="仿宋_GB2312" w:cs="仿宋_GB2312"/>
          <w:snapToGrid w:val="0"/>
          <w:kern w:val="0"/>
        </w:rPr>
        <w:t>）是否达到合同约定；</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（三）核验业主共有资金收支和分配情况；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（四）根据物业服务合同（前期物业服务合同）核验违约责任、履约保证措施的执行情况；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（五）其它受托任务目的。</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第十条 物业评估机构实施物业服务质量评估活动的依据可以包括下列文件：</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（一）评估协议书；</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（二）国务院《物业管理条例》、《江苏省物业管理条例》、《南通市住宅物业管理条例》和《南通市物业服务第三方评估管理暂行办法》；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（三）《南通市普通商品住房物业服务收费分项目收费标准》；</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（四）住建部《物业承接查验办法》（建房〔2010〕165号）、《南通市物业承接查验实务导则》；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（五）物业服务合同（前期物业服务合同）；</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（六）《临时管理规约》或《管理规约》、《业主大会议事规则》及相关的业主大会决议；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（七）法律、法规规定或合同约定的其他依据。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第十一条 物业评估机构开展物业服务质量评估的，可以按照下列方法实施：</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查看合同内容是否完整。查看前期物业服务合同内容及相关要件是否完整，将是否包含物业承接查验的相关内容作为重点；查看物业服务合同内容及相关要件是否完整。合同应当载明：物业服务内容、标准、收费价格和委托代收费事项；各分项服务的标准（含人员配置）和费用分项测算；分项费用和主要成本变动联动调整的约定；物业服务标准的评估方式；物业服务用房（含业主委员会议事活动用房）的面积和位置；共用部位、共用设施设备清册；业主共有资金专用账户的设立、查询方式，以及利用共用部位、共用设施设备开展经营活动所得收益的核算及分配办法；违约责任、履约保证措施和和合同解除的条件；与前期物业服务有关的其他事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核验各分项服务质量。物业服务合同中有关于服务质量标准评估方式的明确约定，从其约定方式核实；没有约定或者约定不明确的，采用《南通市普通商品住房物业服务收费分项目收费标准》规定的核验方法核验。</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（三）核验业主共有资金收支。物业服务合同中有明确约定的，从其约定方式核实；没有约定或者约定不明确的， 以物业管理区域范围内除专有部分以外的作为“业主共用部位、共用设施设备”；以评估现场拍照计数采集的数据作为已“利用”数量；以该物业管理区域同地段若干小区的平均值作为收益单价；以前期物业管理招标文件、中标文件确定的数据为相关维护开支费用；以《江苏省物业管理条例》第六十五条第一款、第六十六条第三款的规定为分配办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核验违约责任、履约保证措施的执行情况。物业服务合同中有明确约定的，从其约定方式核验；没有约定或者约定不明确的，按住建部《物业承接查验办法》的有关规定界定建设单位与物业服务企业之间的责任；按《临时管理规约》相应条款区分业主（或使用人）与物业服务企业之间的责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第十二条 物业评估机构开展物业服务质量评估的，应在评估报告中注明评估日期、基准日及有关责任提示，包括下列内容：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（一）所收集资料（含各分项服务工作记录台账等）的时间区间；</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（二）委托任务涉及人员工资等成本费用或其他有市场价格变动测算事项的，应标明反映当时费用价格水平的基准日，并标明符合本市规定的，自基准日开始计算的测算意见有效期；</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（三）物业服务质量标准的分项费用测算结果形成日期；</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（四）对可能存在的各方履约责任问题，给出提示意见。</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第十三条 物业评估机构开展物业服务质量评估的，应在评估报告中注明评估中收集的资料、查勘数据和计算过程，包括下列内容：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（一）关于物业服务合同（前期物业服务合同）完整性的评估结果及依据。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各分项服务质量是否到达约定标准的评估意见及依据。对于服务过程类的质量指标，应载明评估意见所对应的工作记录、台账资料以及数字记录电子文档；对于服务结果类的质量指标，应载明核验工作期间现场采集的照片、数据记录等资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（三）业主共有资金收支及分配的履约情况评估意见，按本导则第十一条第三项的要求，列出对应的依据及附件。</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（四）物业服务合同中违约责任、履约保证措施执行情况的评估意见，按本导则第十一条第四项的要求，列出对应的依据及附件。</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评估报告中宜单独设立关于“实施过程收集的资料和查勘数据”的有关内容，用以载明评估过程中收集的台账、查勘数据和计算过程等资料。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第十四条 物业评估机构实施物业服务质量评估的，应以评估过程中收集的资料和查勘数据为基础，依照法规和协议明确的任务及方法，给出客观、完整的结论性意见（评估结果）。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评估报告中，未载明物业服务合同（前期物业服务合同） 内容完整性、分项服务质量评估结果、费用价格标准采集时间的，属于重大遗漏。评估委托协议另有约定的除外。</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黑体" w:eastAsia="黑体" w:cs="黑体"/>
          <w:snapToGrid w:val="0"/>
          <w:kern w:val="0"/>
          <w:sz w:val="36"/>
          <w:szCs w:val="36"/>
        </w:rPr>
      </w:pPr>
      <w:r>
        <w:rPr>
          <w:rFonts w:hint="eastAsia" w:ascii="黑体" w:hAnsi="黑体" w:eastAsia="黑体" w:cs="黑体"/>
          <w:snapToGrid w:val="0"/>
          <w:kern w:val="0"/>
          <w:sz w:val="36"/>
          <w:szCs w:val="36"/>
        </w:rPr>
        <w:t>第三章</w:t>
      </w:r>
      <w:r>
        <w:rPr>
          <w:rFonts w:hint="eastAsia" w:ascii="黑体" w:hAnsi="黑体" w:eastAsia="黑体" w:cs="黑体"/>
          <w:snapToGrid w:val="0"/>
          <w:kern w:val="0"/>
          <w:sz w:val="36"/>
          <w:szCs w:val="36"/>
        </w:rPr>
        <w:tab/>
      </w:r>
      <w:r>
        <w:rPr>
          <w:rFonts w:hint="eastAsia" w:ascii="黑体" w:hAnsi="黑体" w:eastAsia="黑体" w:cs="黑体"/>
          <w:snapToGrid w:val="0"/>
          <w:kern w:val="0"/>
          <w:sz w:val="36"/>
          <w:szCs w:val="36"/>
        </w:rPr>
        <w:t>物业管理项目承接（交接）查验</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第十五条 物业评估机构实施前期物业管理项目承接查验或物业管理项目交接评估业务的，在提交的评估报告中，可以按下列方式描述评估任务目的：</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（一）明确物业管理项目承接（交接）查验活动中各有关主体的权利义务；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（二）明确物业管理项目承接（交接）查验活动中存在的问题、解决责任人、解决时限及违约责任；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（三）其他受托任务目的。</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第十六条 物业评估机构实施物业管理项目查验、交接的依据可以包括下列文件：</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（一）评估协议书；</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（二）国务院《物业管理条例》、《江苏省物业管理条例》、《南通市住宅物业管理条例》和《南通市物业服务第三方评估管理暂行办法》；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（三）住建部《物业承接查验办法》（建房〔2010〕165号）；</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（四）南通市物业承接查验实务导则；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（五）法律、法规规定或合同约定其他依据。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第十七条 物业评估机构实施物业管理项目承接（交接） 查验的，可按照下列方法：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（一）制定物业承接（交接）查验方案；</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（二）查看有关移交资料的完整性；</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（三）综合运用核对、观察、检测、使用和试验等方法，重点查验共有部位、共用设施设备的</w:t>
      </w:r>
      <w:r>
        <w:rPr>
          <w:rFonts w:hint="eastAsia" w:ascii="仿宋_GB2312" w:hAnsi="仿宋_GB2312" w:eastAsia="仿宋_GB2312" w:cs="仿宋_GB2312"/>
          <w:snapToGrid w:val="0"/>
          <w:kern w:val="0"/>
          <w:lang w:eastAsia="zh-CN"/>
        </w:rPr>
        <w:t>配置</w:t>
      </w:r>
      <w:r>
        <w:rPr>
          <w:rFonts w:hint="eastAsia" w:ascii="仿宋_GB2312" w:hAnsi="仿宋_GB2312" w:eastAsia="仿宋_GB2312" w:cs="仿宋_GB2312"/>
          <w:snapToGrid w:val="0"/>
          <w:kern w:val="0"/>
        </w:rPr>
        <w:t>标准、外观质量和使用功能，确认移交的设施、设备；</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（四）与交接双方签署承接（交接）查验确认书。</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第十八条 物业评估机构实施物业管理项目承接（交接） 查验的，应在评估报告中注明评估日期、基准日及有关责任提示，包括下列内容：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（一）各分项查验记录及原交付方确认的日期；</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（二）查验问题的整改时限；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（三）有关责任提示。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第十九条 物业评估机构实施物业管理项目承接（交接）查验的，评估报告中应载明评估中收集的资料和查勘数据，包括下列内容：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（一）承接（交接）查验的各项数据记录；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（二）承接（交接）查验资料移交清单；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（三）现场查验房屋共用部位、共用设施设备的记录，查验记录应当包括查验时间、项目名称、查验范围、查验方法、存在问题、修复情况等内容；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（四）共用部位、共用设施设备的数量和质量不符合规定或约定的情形。</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前款所列内容应当由交付和接收双方参加查验的人员签字确认。</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第二十条 承接（交接）查验确认书应包括下列内容：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（一）交付方向接收方提供和移交的资料清单；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（二）经接收方查验、并确认完好的物业项目共用部位、共用设施设备清单；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（三）经接收方查验并确认存在问题的物业管理项目共用部位、共用设施设备清单；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（四）经交接双方协商一致，针对交付方补齐资料和现场查验发现问题约定的解决办法；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（五）物业评估机构受托任务中的其他查验、测试工作的结论性意见；</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（六）其他物业评估机构必须尽责的提示。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第二十一条 物业评估机构实施承接（交接）查验评估的，应以评估过程中收集的资料和查勘数据为基础，依照法规和协议明确的任务及方法，给出客观、完整的结论性意见（评估结果）。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评估报告中，未明确物业管理项目承接（交接）查验活动中存在的问题、解决责任人及解决时限的，属重大遗漏。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黑体" w:eastAsia="黑体" w:cs="黑体"/>
          <w:snapToGrid w:val="0"/>
          <w:kern w:val="0"/>
          <w:sz w:val="36"/>
          <w:szCs w:val="36"/>
        </w:rPr>
      </w:pPr>
      <w:r>
        <w:rPr>
          <w:rFonts w:hint="eastAsia" w:ascii="黑体" w:hAnsi="黑体" w:eastAsia="黑体" w:cs="黑体"/>
          <w:snapToGrid w:val="0"/>
          <w:kern w:val="0"/>
          <w:sz w:val="36"/>
          <w:szCs w:val="36"/>
        </w:rPr>
        <w:t>第四章</w:t>
      </w:r>
      <w:r>
        <w:rPr>
          <w:rFonts w:hint="eastAsia" w:ascii="黑体" w:hAnsi="黑体" w:eastAsia="黑体" w:cs="黑体"/>
          <w:snapToGrid w:val="0"/>
          <w:kern w:val="0"/>
          <w:sz w:val="36"/>
          <w:szCs w:val="36"/>
        </w:rPr>
        <w:tab/>
      </w:r>
      <w:r>
        <w:rPr>
          <w:rFonts w:hint="eastAsia" w:ascii="黑体" w:hAnsi="黑体" w:eastAsia="黑体" w:cs="黑体"/>
          <w:snapToGrid w:val="0"/>
          <w:kern w:val="0"/>
          <w:sz w:val="36"/>
          <w:szCs w:val="36"/>
        </w:rPr>
        <w:t>物业服务标准和费用测算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仿宋_GB2312" w:hAnsi="仿宋_GB2312" w:eastAsia="仿宋_GB2312" w:cs="仿宋_GB2312"/>
          <w:snapToGrid w:val="0"/>
          <w:kern w:val="0"/>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第二十二条 物业评估机构开展物业服务标准和费用测算评估业务的，在提交的评估报告中，可以按下列方式描述评估目的：</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（一）形成物业服务方案，以及各分项物业服务标准；</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（二）确定费用评估方案，测算物业服务费用总额及各分项费用标准；</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（三）其他受托的任务目标。</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第二十三条</w:t>
      </w:r>
      <w:r>
        <w:rPr>
          <w:rFonts w:hint="eastAsia" w:ascii="仿宋_GB2312" w:hAnsi="仿宋_GB2312" w:eastAsia="仿宋_GB2312" w:cs="仿宋_GB2312"/>
          <w:snapToGrid w:val="0"/>
          <w:kern w:val="0"/>
        </w:rPr>
        <w:tab/>
      </w:r>
      <w:r>
        <w:rPr>
          <w:rFonts w:hint="eastAsia" w:ascii="仿宋_GB2312" w:hAnsi="仿宋_GB2312" w:eastAsia="仿宋_GB2312" w:cs="仿宋_GB2312"/>
          <w:snapToGrid w:val="0"/>
          <w:kern w:val="0"/>
        </w:rPr>
        <w:t>物业评估机构实施物业服务标准和费用测算评估活动的依据包括下列文件：</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（一）评估协议书；</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（二）国务院《物业管理条例》、《江苏省物业管理条例》、《南通市住宅物业管理条例》和《南通市物业服务第三方评估管理暂行办法》；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（三）《南通市普通商品住房物业服务收费分项目收费标准》；</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（四）法律、法规规定或合同约定其他依据。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第二十四条</w:t>
      </w:r>
      <w:r>
        <w:rPr>
          <w:rFonts w:hint="eastAsia" w:ascii="仿宋_GB2312" w:hAnsi="仿宋_GB2312" w:eastAsia="仿宋_GB2312" w:cs="仿宋_GB2312"/>
          <w:snapToGrid w:val="0"/>
          <w:kern w:val="0"/>
        </w:rPr>
        <w:tab/>
      </w:r>
      <w:r>
        <w:rPr>
          <w:rFonts w:hint="eastAsia" w:ascii="仿宋_GB2312" w:hAnsi="仿宋_GB2312" w:eastAsia="仿宋_GB2312" w:cs="仿宋_GB2312"/>
          <w:snapToGrid w:val="0"/>
          <w:kern w:val="0"/>
        </w:rPr>
        <w:t>物业评估机构实施物业服务标准和费用测算的</w:t>
      </w:r>
      <w:r>
        <w:rPr>
          <w:rFonts w:hint="eastAsia" w:ascii="仿宋_GB2312" w:hAnsi="仿宋_GB2312" w:eastAsia="仿宋_GB2312" w:cs="仿宋_GB2312"/>
          <w:snapToGrid w:val="0"/>
          <w:kern w:val="0"/>
          <w:lang w:eastAsia="zh-CN"/>
        </w:rPr>
        <w:t>，</w:t>
      </w:r>
      <w:r>
        <w:rPr>
          <w:rFonts w:hint="eastAsia" w:ascii="仿宋_GB2312" w:hAnsi="仿宋_GB2312" w:eastAsia="仿宋_GB2312" w:cs="仿宋_GB2312"/>
          <w:snapToGrid w:val="0"/>
          <w:kern w:val="0"/>
        </w:rPr>
        <w:t>可以按照下列方法实施：</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（一）整理完善物业管理区域内共有部位和共有设施设备实际状况的基础数据；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（二）根据委托方需求拟定物业管理项目各分项物业服务标准；</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（三）对共有设施、设备的运行状态进行查验，测算能耗费用、维保费用。设施设备需要大修、更新或改造升级的，应说明相关工程量、工程费用、功能实现和后期可能产生维保费用的测算情况；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（四）根据已确定的分项物业服务标准或物业服务运行方案，参考同类物业管理项目岗位</w:t>
      </w:r>
      <w:r>
        <w:rPr>
          <w:rFonts w:hint="eastAsia" w:ascii="仿宋_GB2312" w:hAnsi="仿宋_GB2312" w:eastAsia="仿宋_GB2312" w:cs="仿宋_GB2312"/>
          <w:snapToGrid w:val="0"/>
          <w:kern w:val="0"/>
          <w:lang w:eastAsia="zh-CN"/>
        </w:rPr>
        <w:t>配置</w:t>
      </w:r>
      <w:r>
        <w:rPr>
          <w:rFonts w:hint="eastAsia" w:ascii="仿宋_GB2312" w:hAnsi="仿宋_GB2312" w:eastAsia="仿宋_GB2312" w:cs="仿宋_GB2312"/>
          <w:snapToGrid w:val="0"/>
          <w:kern w:val="0"/>
        </w:rPr>
        <w:t>工时标准，测算对应于综合管理、秩序维护、保洁、绿化、共有设施设备日常维修养护五个分项服务标准的人员岗位</w:t>
      </w:r>
      <w:r>
        <w:rPr>
          <w:rFonts w:hint="eastAsia" w:ascii="仿宋_GB2312" w:hAnsi="仿宋_GB2312" w:eastAsia="仿宋_GB2312" w:cs="仿宋_GB2312"/>
          <w:snapToGrid w:val="0"/>
          <w:kern w:val="0"/>
          <w:lang w:eastAsia="zh-CN"/>
        </w:rPr>
        <w:t>配置</w:t>
      </w:r>
      <w:r>
        <w:rPr>
          <w:rFonts w:hint="eastAsia" w:ascii="仿宋_GB2312" w:hAnsi="仿宋_GB2312" w:eastAsia="仿宋_GB2312" w:cs="仿宋_GB2312"/>
          <w:snapToGrid w:val="0"/>
          <w:kern w:val="0"/>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（五）以本市最新发布的基本工资最低水平为基数（即取系数为1），根据《南通市普通商品住房物业服务收费分项目收费标准》，对应不同服务标准，测算各分项人员费用；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（六）根据人员费用、公共能耗费用、维保费用等，测算物业服务标准各分项费用；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（七）根据小区共有部位、共有设施设备的收费情况，测算共有收益金额。</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按照前款所列测算依据，根据南通市物业服务收费</w:t>
      </w:r>
      <w:r>
        <w:rPr>
          <w:rFonts w:hint="eastAsia" w:ascii="仿宋_GB2312" w:hAnsi="仿宋_GB2312" w:eastAsia="仿宋_GB2312" w:cs="仿宋_GB2312"/>
          <w:snapToGrid w:val="0"/>
          <w:kern w:val="0"/>
          <w:lang w:eastAsia="zh-CN"/>
        </w:rPr>
        <w:t>相关办法</w:t>
      </w:r>
      <w:r>
        <w:rPr>
          <w:rFonts w:hint="eastAsia" w:ascii="仿宋_GB2312" w:hAnsi="仿宋_GB2312" w:eastAsia="仿宋_GB2312" w:cs="仿宋_GB2312"/>
          <w:snapToGrid w:val="0"/>
          <w:kern w:val="0"/>
        </w:rPr>
        <w:t>规定的物业公共服务构成因素，测算物业公共服务费标准和代收代缴费用标准。</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第二十五条 物业评估机构开展物业服务标准和费用测算的，应在评估报告中注明评估日期、基准日及有关责任提示，包括下列内容：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（一）项目基础数据确认或修正确认的日期；</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（二）各分项物业服务标准测算方案形成日期；</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（三）物业服务分项费用测算方案形成日期；</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（四）关于物业服务标准、费用测算情况的有关建议。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第二十六条</w:t>
      </w:r>
      <w:r>
        <w:rPr>
          <w:rFonts w:hint="eastAsia" w:ascii="仿宋_GB2312" w:hAnsi="仿宋_GB2312" w:eastAsia="仿宋_GB2312" w:cs="仿宋_GB2312"/>
          <w:snapToGrid w:val="0"/>
          <w:kern w:val="0"/>
        </w:rPr>
        <w:tab/>
      </w:r>
      <w:r>
        <w:rPr>
          <w:rFonts w:hint="eastAsia" w:ascii="仿宋_GB2312" w:hAnsi="仿宋_GB2312" w:eastAsia="仿宋_GB2312" w:cs="仿宋_GB2312"/>
          <w:snapToGrid w:val="0"/>
          <w:kern w:val="0"/>
        </w:rPr>
        <w:t>物业评估机构开展物业服务标准及费用测算的，应在评估报告中注明评估中收集的资料、查勘数据和计算过程，包括下列内容：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（一）物业管理项目技术经济指标和基础数据；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（二）物业服务合同、业主大会决议等资料；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（三）物业服务方案和物业公共服务费的测算结果、测算值和依据；各分项服务标准的人员岗位配</w:t>
      </w:r>
      <w:r>
        <w:rPr>
          <w:rFonts w:hint="eastAsia" w:ascii="仿宋_GB2312" w:hAnsi="仿宋_GB2312" w:eastAsia="仿宋_GB2312" w:cs="仿宋_GB2312"/>
          <w:snapToGrid w:val="0"/>
          <w:kern w:val="0"/>
          <w:lang w:eastAsia="zh-CN"/>
        </w:rPr>
        <w:t>置</w:t>
      </w:r>
      <w:r>
        <w:rPr>
          <w:rFonts w:hint="eastAsia" w:ascii="仿宋_GB2312" w:hAnsi="仿宋_GB2312" w:eastAsia="仿宋_GB2312" w:cs="仿宋_GB2312"/>
          <w:snapToGrid w:val="0"/>
          <w:kern w:val="0"/>
        </w:rPr>
        <w:t>、运行消耗计算结果和依据，对应人员岗位配</w:t>
      </w:r>
      <w:r>
        <w:rPr>
          <w:rFonts w:hint="eastAsia" w:ascii="仿宋_GB2312" w:hAnsi="仿宋_GB2312" w:eastAsia="仿宋_GB2312" w:cs="仿宋_GB2312"/>
          <w:snapToGrid w:val="0"/>
          <w:kern w:val="0"/>
          <w:lang w:eastAsia="zh-CN"/>
        </w:rPr>
        <w:t>置</w:t>
      </w:r>
      <w:r>
        <w:rPr>
          <w:rFonts w:hint="eastAsia" w:ascii="仿宋_GB2312" w:hAnsi="仿宋_GB2312" w:eastAsia="仿宋_GB2312" w:cs="仿宋_GB2312"/>
          <w:snapToGrid w:val="0"/>
          <w:kern w:val="0"/>
        </w:rPr>
        <w:t>、运行消耗的岗位基本工资测算值和测算依据；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（四）共用水、电等费用分摊，代收代缴建议方案及测算依据；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（五）业主共有收益项目的数量、位</w:t>
      </w:r>
      <w:r>
        <w:rPr>
          <w:rFonts w:hint="eastAsia" w:ascii="仿宋_GB2312" w:hAnsi="仿宋_GB2312" w:eastAsia="仿宋_GB2312" w:cs="仿宋_GB2312"/>
          <w:snapToGrid w:val="0"/>
          <w:kern w:val="0"/>
          <w:lang w:eastAsia="zh-CN"/>
        </w:rPr>
        <w:t>置</w:t>
      </w:r>
      <w:r>
        <w:rPr>
          <w:rFonts w:hint="eastAsia" w:ascii="仿宋_GB2312" w:hAnsi="仿宋_GB2312" w:eastAsia="仿宋_GB2312" w:cs="仿宋_GB2312"/>
          <w:snapToGrid w:val="0"/>
          <w:kern w:val="0"/>
        </w:rPr>
        <w:t>和收费标准测算值及依据；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（六）共用设施设备维护建议及依据。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rPr>
      </w:pPr>
      <w:r>
        <w:rPr>
          <w:rFonts w:hint="eastAsia" w:ascii="仿宋_GB2312" w:hAnsi="仿宋_GB2312" w:eastAsia="仿宋_GB2312" w:cs="仿宋_GB2312"/>
          <w:snapToGrid w:val="0"/>
          <w:kern w:val="0"/>
        </w:rPr>
        <w:t>第二十七条 物业评估机构实施物业服务标准及费用测算评估活动的，应以评估过程中收集的资料和查勘数据为基础，依照法规和协议明确的任务及方法，给出客观、完整的结论意见。</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napToGrid w:val="0"/>
          <w:kern w:val="0"/>
          <w:lang w:eastAsia="zh-CN"/>
        </w:rPr>
      </w:pPr>
      <w:r>
        <w:rPr>
          <w:rFonts w:hint="eastAsia" w:ascii="仿宋_GB2312" w:hAnsi="仿宋_GB2312" w:eastAsia="仿宋_GB2312" w:cs="仿宋_GB2312"/>
          <w:snapToGrid w:val="0"/>
          <w:kern w:val="0"/>
        </w:rPr>
        <w:t>结论意见中，缺少物业服务分项测算，共有部位、共用设施设备管理情况，业主共有资金收益测算的，属重大遗漏。</w:t>
      </w:r>
    </w:p>
    <w:sectPr>
      <w:pgSz w:w="11906" w:h="16838"/>
      <w:pgMar w:top="2098" w:right="1474" w:bottom="1984"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1E9"/>
    <w:rsid w:val="0010356B"/>
    <w:rsid w:val="003F2FE1"/>
    <w:rsid w:val="004116A0"/>
    <w:rsid w:val="004563A9"/>
    <w:rsid w:val="004D4753"/>
    <w:rsid w:val="00843378"/>
    <w:rsid w:val="00B661E9"/>
    <w:rsid w:val="00BA684F"/>
    <w:rsid w:val="00BF0B6B"/>
    <w:rsid w:val="00D870A1"/>
    <w:rsid w:val="00E865FF"/>
    <w:rsid w:val="01845E67"/>
    <w:rsid w:val="040162D1"/>
    <w:rsid w:val="056D2A4A"/>
    <w:rsid w:val="0DBC16CB"/>
    <w:rsid w:val="1256523E"/>
    <w:rsid w:val="162958F9"/>
    <w:rsid w:val="165D3756"/>
    <w:rsid w:val="168A36C0"/>
    <w:rsid w:val="16D755E4"/>
    <w:rsid w:val="16E6364B"/>
    <w:rsid w:val="174055FA"/>
    <w:rsid w:val="19071D17"/>
    <w:rsid w:val="196F7561"/>
    <w:rsid w:val="1A691AF7"/>
    <w:rsid w:val="1BD07846"/>
    <w:rsid w:val="1CD10A66"/>
    <w:rsid w:val="1EDD61A8"/>
    <w:rsid w:val="1EE83046"/>
    <w:rsid w:val="1F745315"/>
    <w:rsid w:val="20876203"/>
    <w:rsid w:val="21920C08"/>
    <w:rsid w:val="22EE542A"/>
    <w:rsid w:val="26686B61"/>
    <w:rsid w:val="283F3233"/>
    <w:rsid w:val="289105AF"/>
    <w:rsid w:val="2E39269D"/>
    <w:rsid w:val="3115348E"/>
    <w:rsid w:val="34A735EC"/>
    <w:rsid w:val="38F16B64"/>
    <w:rsid w:val="38FA7822"/>
    <w:rsid w:val="39F575D8"/>
    <w:rsid w:val="3CA95877"/>
    <w:rsid w:val="3DC172A1"/>
    <w:rsid w:val="41150808"/>
    <w:rsid w:val="42260FAB"/>
    <w:rsid w:val="44090ECD"/>
    <w:rsid w:val="45D620DB"/>
    <w:rsid w:val="47DC0DA1"/>
    <w:rsid w:val="48226C61"/>
    <w:rsid w:val="48A63F05"/>
    <w:rsid w:val="493C2F8A"/>
    <w:rsid w:val="49564472"/>
    <w:rsid w:val="4C0A4560"/>
    <w:rsid w:val="4DF01FEF"/>
    <w:rsid w:val="4FA272D2"/>
    <w:rsid w:val="50094E91"/>
    <w:rsid w:val="50C26E54"/>
    <w:rsid w:val="527A3772"/>
    <w:rsid w:val="556170ED"/>
    <w:rsid w:val="559E228C"/>
    <w:rsid w:val="55F44271"/>
    <w:rsid w:val="56E55C49"/>
    <w:rsid w:val="57FC789C"/>
    <w:rsid w:val="5A613613"/>
    <w:rsid w:val="5A8948E3"/>
    <w:rsid w:val="5D0F43C7"/>
    <w:rsid w:val="5FB55AEE"/>
    <w:rsid w:val="633208CB"/>
    <w:rsid w:val="639D0022"/>
    <w:rsid w:val="65136759"/>
    <w:rsid w:val="656F2041"/>
    <w:rsid w:val="65C3311C"/>
    <w:rsid w:val="65C641B4"/>
    <w:rsid w:val="660E7499"/>
    <w:rsid w:val="662A07E9"/>
    <w:rsid w:val="67362D58"/>
    <w:rsid w:val="67520A4D"/>
    <w:rsid w:val="70980C4A"/>
    <w:rsid w:val="74965FF9"/>
    <w:rsid w:val="7837461F"/>
    <w:rsid w:val="78F3320D"/>
    <w:rsid w:val="7AE7479D"/>
    <w:rsid w:val="7CD520D5"/>
    <w:rsid w:val="7E864F67"/>
    <w:rsid w:val="7EAE19B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00" w:lineRule="auto"/>
      <w:jc w:val="both"/>
      <w:textAlignment w:val="baseline"/>
    </w:pPr>
    <w:rPr>
      <w:rFonts w:ascii="Calibri" w:hAnsi="Calibri" w:eastAsia="方正仿宋_GBK" w:cs="Calibri"/>
      <w:kern w:val="32"/>
      <w:sz w:val="32"/>
      <w:szCs w:val="32"/>
      <w:lang w:val="en-US" w:eastAsia="zh-CN" w:bidi="ar-SA"/>
    </w:rPr>
  </w:style>
  <w:style w:type="character" w:default="1" w:styleId="4">
    <w:name w:val="Default Paragraph Font"/>
    <w:semiHidden/>
    <w:qFormat/>
    <w:uiPriority w:val="99"/>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99"/>
    <w:pPr>
      <w:adjustRightInd/>
      <w:snapToGrid/>
      <w:spacing w:beforeAutospacing="1" w:afterAutospacing="1" w:line="240" w:lineRule="auto"/>
      <w:jc w:val="left"/>
      <w:textAlignment w:val="auto"/>
    </w:pPr>
    <w:rPr>
      <w:rFonts w:eastAsia="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7</Pages>
  <Words>410</Words>
  <Characters>2342</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2016-12-13T06:26:00Z</dcterms:created>
  <dc:creator>Administrator</dc:creator>
  <cp:lastModifiedBy>煜</cp:lastModifiedBy>
  <dcterms:modified xsi:type="dcterms:W3CDTF">2020-12-31T05:03:19Z</dcterms:modified>
  <dc:title>南京市物业服务第三方评估管理暂行办法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