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13" w:rsidRDefault="00D76D13" w:rsidP="00D76D13">
      <w:pPr>
        <w:tabs>
          <w:tab w:val="left" w:pos="9193"/>
          <w:tab w:val="left" w:pos="9827"/>
        </w:tabs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方正小标宋_GBK" w:eastAsia="方正小标宋_GBK" w:cs="方正小标宋简体" w:hint="eastAsia"/>
          <w:snapToGrid w:val="0"/>
          <w:spacing w:val="20"/>
          <w:kern w:val="32"/>
          <w:sz w:val="44"/>
        </w:rPr>
      </w:pPr>
      <w:r>
        <w:rPr>
          <w:rFonts w:ascii="方正小标宋_GBK" w:eastAsia="方正小标宋_GBK" w:cs="方正小标宋简体" w:hint="eastAsia"/>
          <w:snapToGrid w:val="0"/>
          <w:kern w:val="32"/>
          <w:sz w:val="44"/>
        </w:rPr>
        <w:t>关于促进</w:t>
      </w:r>
      <w:r>
        <w:rPr>
          <w:rFonts w:ascii="方正小标宋_GBK" w:eastAsia="方正小标宋_GBK" w:cs="方正小标宋简体" w:hint="eastAsia"/>
          <w:snapToGrid w:val="0"/>
          <w:spacing w:val="20"/>
          <w:kern w:val="32"/>
          <w:sz w:val="44"/>
        </w:rPr>
        <w:t>房地产市场平稳健康发展的通知</w:t>
      </w:r>
    </w:p>
    <w:p w:rsidR="00D76D13" w:rsidRDefault="00D76D13" w:rsidP="00D76D13">
      <w:pPr>
        <w:tabs>
          <w:tab w:val="left" w:pos="9193"/>
          <w:tab w:val="left" w:pos="9827"/>
        </w:tabs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方正小标宋_GBK" w:eastAsia="方正小标宋_GBK" w:cs="方正小标宋简体"/>
          <w:snapToGrid w:val="0"/>
          <w:spacing w:val="20"/>
          <w:kern w:val="32"/>
          <w:sz w:val="44"/>
        </w:rPr>
      </w:pPr>
      <w:r>
        <w:rPr>
          <w:rFonts w:ascii="方正仿宋_GBK" w:eastAsia="方正仿宋_GBK" w:hint="eastAsia"/>
          <w:snapToGrid w:val="0"/>
          <w:color w:val="000000"/>
        </w:rPr>
        <w:t>通住建房〔2022〕98号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="624"/>
        <w:textAlignment w:val="auto"/>
        <w:rPr>
          <w:rFonts w:eastAsia="方正仿宋_GBK"/>
          <w:snapToGrid w:val="0"/>
        </w:rPr>
      </w:pP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textAlignment w:val="auto"/>
        <w:rPr>
          <w:rFonts w:eastAsia="方正仿宋_GBK" w:cs="方正仿宋_GBK"/>
          <w:snapToGrid w:val="0"/>
        </w:rPr>
      </w:pPr>
      <w:r>
        <w:rPr>
          <w:rFonts w:eastAsia="方正仿宋_GBK" w:cs="方正仿宋_GBK" w:hint="eastAsia"/>
          <w:snapToGrid w:val="0"/>
        </w:rPr>
        <w:t>各县（市、区）人民政府，市</w:t>
      </w:r>
      <w:r>
        <w:rPr>
          <w:rFonts w:eastAsia="方正仿宋_GBK" w:cs="方正仿宋_GBK"/>
          <w:snapToGrid w:val="0"/>
        </w:rPr>
        <w:t>各直属园区</w:t>
      </w:r>
      <w:r>
        <w:rPr>
          <w:rFonts w:eastAsia="方正仿宋_GBK" w:cs="方正仿宋_GBK" w:hint="eastAsia"/>
          <w:snapToGrid w:val="0"/>
        </w:rPr>
        <w:t>管委会，市各委、办、局，市各直属单位：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400" w:firstLine="520"/>
        <w:textAlignment w:val="auto"/>
        <w:rPr>
          <w:rFonts w:eastAsia="方正仿宋_GBK" w:cs="方正仿宋_GBK"/>
          <w:snapToGrid w:val="0"/>
        </w:rPr>
      </w:pPr>
      <w:r>
        <w:rPr>
          <w:rFonts w:eastAsia="微软雅黑" w:cs="微软雅黑"/>
          <w:snapToGrid w:val="0"/>
          <w:color w:val="3B3B3B"/>
          <w:sz w:val="13"/>
          <w:szCs w:val="13"/>
          <w:shd w:val="clear" w:color="auto" w:fill="FFFFFF"/>
        </w:rPr>
        <w:t> </w:t>
      </w:r>
      <w:r>
        <w:rPr>
          <w:rFonts w:eastAsia="方正仿宋_GBK" w:cs="方正仿宋_GBK" w:hint="eastAsia"/>
          <w:snapToGrid w:val="0"/>
        </w:rPr>
        <w:t>为深入贯彻落实中央会议精神，坚持“房住不炒”，完善房地产政策，更好地满足人民群众刚性和改善性住房需求，促进全市房地产市场平稳健康发展，现将有关事项通知如下：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黑体_GBK" w:cs="方正仿宋_GBK"/>
          <w:snapToGrid w:val="0"/>
        </w:rPr>
      </w:pPr>
      <w:r>
        <w:rPr>
          <w:rFonts w:eastAsia="方正黑体_GBK" w:cs="方正仿宋_GBK" w:hint="eastAsia"/>
          <w:snapToGrid w:val="0"/>
        </w:rPr>
        <w:t>一、调整住房公积金贷款</w:t>
      </w:r>
      <w:proofErr w:type="gramStart"/>
      <w:r>
        <w:rPr>
          <w:rFonts w:eastAsia="方正黑体_GBK" w:cs="方正仿宋_GBK" w:hint="eastAsia"/>
          <w:snapToGrid w:val="0"/>
        </w:rPr>
        <w:t>额度及首付款</w:t>
      </w:r>
      <w:proofErr w:type="gramEnd"/>
      <w:r>
        <w:rPr>
          <w:rFonts w:eastAsia="方正黑体_GBK" w:cs="方正仿宋_GBK" w:hint="eastAsia"/>
          <w:snapToGrid w:val="0"/>
        </w:rPr>
        <w:t>比例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ascii="方正仿宋_GBK" w:eastAsia="方正仿宋_GBK" w:cs="方正仿宋_GBK"/>
          <w:snapToGrid w:val="0"/>
        </w:rPr>
      </w:pPr>
      <w:r>
        <w:rPr>
          <w:rFonts w:ascii="方正仿宋_GBK" w:eastAsia="方正仿宋_GBK" w:cs="方正仿宋_GBK" w:hint="eastAsia"/>
          <w:snapToGrid w:val="0"/>
        </w:rPr>
        <w:t>1. 在职职工购买首套普通商品住房申请公积金贷款的，贷款额度放宽至原可贷额度的两倍，最高贷款额度不超过40万元/人，80万元/户。（责任单位：市住房公积金中心）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ascii="方正仿宋_GBK" w:eastAsia="方正仿宋_GBK" w:cs="方正仿宋_GBK"/>
          <w:snapToGrid w:val="0"/>
        </w:rPr>
      </w:pPr>
      <w:r>
        <w:rPr>
          <w:rFonts w:ascii="方正仿宋_GBK" w:eastAsia="方正仿宋_GBK" w:cs="方正仿宋_GBK" w:hint="eastAsia"/>
          <w:snapToGrid w:val="0"/>
        </w:rPr>
        <w:t>2. 在职职工购买第二套普通商品住房申请公积金贷款的，最高贷款额度调整为40万元/人，80万元/户；首付款比例由最低40%调整为30%。（责任单位：市住房公积金中心）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ascii="方正仿宋_GBK" w:eastAsia="方正仿宋_GBK" w:cs="方正仿宋_GBK"/>
          <w:snapToGrid w:val="0"/>
        </w:rPr>
      </w:pPr>
      <w:r>
        <w:rPr>
          <w:rFonts w:ascii="方正仿宋_GBK" w:eastAsia="方正仿宋_GBK" w:cs="方正仿宋_GBK" w:hint="eastAsia"/>
          <w:snapToGrid w:val="0"/>
        </w:rPr>
        <w:t>3. 取得硕士研究生或高级职称及以上的在职职工申请公积金贷款的，最高贷款额度调整为80万元/人，160万元/户。（责任单位：市住房公积金中心）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黑体_GBK" w:cs="方正仿宋_GBK"/>
          <w:snapToGrid w:val="0"/>
        </w:rPr>
      </w:pPr>
      <w:r>
        <w:rPr>
          <w:rFonts w:eastAsia="方正黑体_GBK" w:cs="方正仿宋_GBK" w:hint="eastAsia"/>
          <w:snapToGrid w:val="0"/>
        </w:rPr>
        <w:t>二、支持刚性和改善性购房信贷需求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ascii="方正仿宋_GBK" w:eastAsia="方正仿宋_GBK"/>
          <w:snapToGrid w:val="0"/>
        </w:rPr>
      </w:pPr>
      <w:r>
        <w:rPr>
          <w:rFonts w:ascii="方正仿宋_GBK" w:eastAsia="方正仿宋_GBK" w:hint="eastAsia"/>
          <w:snapToGrid w:val="0"/>
        </w:rPr>
        <w:t>4.</w:t>
      </w:r>
      <w:r>
        <w:rPr>
          <w:rFonts w:eastAsia="方正仿宋_GBK"/>
          <w:snapToGrid w:val="0"/>
        </w:rPr>
        <w:t> </w:t>
      </w:r>
      <w:r>
        <w:rPr>
          <w:rFonts w:eastAsia="方正仿宋_GBK" w:hint="eastAsia"/>
          <w:snapToGrid w:val="0"/>
        </w:rPr>
        <w:t xml:space="preserve"> </w:t>
      </w:r>
      <w:r>
        <w:rPr>
          <w:rFonts w:ascii="方正仿宋_GBK" w:eastAsia="方正仿宋_GBK" w:hint="eastAsia"/>
          <w:snapToGrid w:val="0"/>
        </w:rPr>
        <w:t>居民家庭通过商业银行贷款购买普通商品住房的，首次购房首付比例最低执行20%，二套房首付比例最低执行30%。（责任单位：人民银行南通市中心支行、南通银保监</w:t>
      </w:r>
      <w:r>
        <w:rPr>
          <w:rFonts w:ascii="方正仿宋_GBK" w:eastAsia="方正仿宋_GBK" w:hint="eastAsia"/>
          <w:snapToGrid w:val="0"/>
        </w:rPr>
        <w:lastRenderedPageBreak/>
        <w:t>分局）</w:t>
      </w:r>
      <w:r>
        <w:rPr>
          <w:rFonts w:ascii="方正仿宋_GBK" w:eastAsia="方正仿宋_GBK" w:hint="eastAsia"/>
          <w:snapToGrid w:val="0"/>
        </w:rPr>
        <w:br/>
        <w:t xml:space="preserve">    </w:t>
      </w:r>
      <w:r>
        <w:rPr>
          <w:rFonts w:ascii="方正仿宋_GBK" w:eastAsia="方正仿宋_GBK" w:cs="方正仿宋_GBK" w:hint="eastAsia"/>
          <w:snapToGrid w:val="0"/>
        </w:rPr>
        <w:t xml:space="preserve">5. </w:t>
      </w:r>
      <w:r>
        <w:rPr>
          <w:rFonts w:ascii="方正仿宋_GBK" w:eastAsia="方正仿宋_GBK" w:hint="eastAsia"/>
          <w:snapToGrid w:val="0"/>
        </w:rPr>
        <w:t>居民家庭购买普通住房商业贷款利率下限执行全国最低标准，首套住房商业贷款利率下限执行LPR减20个基点，二套房商业贷款利率下限执行现行最低标准。（责任单位：人民银行南通市中心支行、南通银保监分局）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黑体_GBK" w:cs="方正仿宋_GBK"/>
          <w:snapToGrid w:val="0"/>
        </w:rPr>
      </w:pPr>
      <w:r>
        <w:rPr>
          <w:rFonts w:eastAsia="方正黑体_GBK" w:cs="方正仿宋_GBK" w:hint="eastAsia"/>
          <w:snapToGrid w:val="0"/>
        </w:rPr>
        <w:t>三、给予刚性和改善性购房奖</w:t>
      </w:r>
      <w:r>
        <w:rPr>
          <w:rFonts w:eastAsia="方正黑体_GBK" w:cs="方正仿宋_GBK"/>
          <w:snapToGrid w:val="0"/>
        </w:rPr>
        <w:t>补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ascii="方正仿宋_GBK" w:eastAsia="方正仿宋_GBK" w:cs="方正仿宋_GBK"/>
          <w:snapToGrid w:val="0"/>
        </w:rPr>
      </w:pPr>
      <w:r>
        <w:rPr>
          <w:rFonts w:ascii="方正仿宋_GBK" w:eastAsia="方正仿宋_GBK" w:cs="方正仿宋_GBK" w:hint="eastAsia"/>
          <w:snapToGrid w:val="0"/>
        </w:rPr>
        <w:t>6. 在主城区（</w:t>
      </w:r>
      <w:proofErr w:type="gramStart"/>
      <w:r>
        <w:rPr>
          <w:rFonts w:ascii="方正仿宋_GBK" w:eastAsia="方正仿宋_GBK" w:cs="方正仿宋_GBK" w:hint="eastAsia"/>
          <w:snapToGrid w:val="0"/>
        </w:rPr>
        <w:t>指崇川</w:t>
      </w:r>
      <w:proofErr w:type="gramEnd"/>
      <w:r>
        <w:rPr>
          <w:rFonts w:ascii="方正仿宋_GBK" w:eastAsia="方正仿宋_GBK" w:cs="方正仿宋_GBK" w:hint="eastAsia"/>
          <w:snapToGrid w:val="0"/>
        </w:rPr>
        <w:t>区、市经济技术开发区、苏锡通科技产业园区，下同）购买首套或第二套普通商品住房（含二手住房）的购房者（以房屋买卖</w:t>
      </w:r>
      <w:proofErr w:type="gramStart"/>
      <w:r>
        <w:rPr>
          <w:rFonts w:ascii="方正仿宋_GBK" w:eastAsia="方正仿宋_GBK" w:cs="方正仿宋_GBK" w:hint="eastAsia"/>
          <w:snapToGrid w:val="0"/>
        </w:rPr>
        <w:t>合同网签备案</w:t>
      </w:r>
      <w:proofErr w:type="gramEnd"/>
      <w:r>
        <w:rPr>
          <w:rFonts w:ascii="方正仿宋_GBK" w:eastAsia="方正仿宋_GBK" w:cs="方正仿宋_GBK" w:hint="eastAsia"/>
          <w:snapToGrid w:val="0"/>
        </w:rPr>
        <w:t>时间为准），按照购房总额（住宅部分）的0.75%给予奖</w:t>
      </w:r>
      <w:r>
        <w:rPr>
          <w:rFonts w:ascii="方正仿宋_GBK" w:eastAsia="方正仿宋_GBK" w:cs="方正仿宋_GBK"/>
          <w:snapToGrid w:val="0"/>
        </w:rPr>
        <w:t>补</w:t>
      </w:r>
      <w:r>
        <w:rPr>
          <w:rFonts w:ascii="方正仿宋_GBK" w:eastAsia="方正仿宋_GBK" w:cs="方正仿宋_GBK" w:hint="eastAsia"/>
          <w:snapToGrid w:val="0"/>
        </w:rPr>
        <w:t>。（责任单位：市财政局）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黑体_GBK" w:cs="方正仿宋_GBK"/>
          <w:snapToGrid w:val="0"/>
        </w:rPr>
      </w:pPr>
      <w:r>
        <w:rPr>
          <w:rFonts w:eastAsia="方正黑体_GBK" w:cs="方正仿宋_GBK" w:hint="eastAsia"/>
          <w:snapToGrid w:val="0"/>
        </w:rPr>
        <w:t>四</w:t>
      </w:r>
      <w:r>
        <w:rPr>
          <w:rFonts w:eastAsia="方正黑体_GBK" w:cs="方正仿宋_GBK"/>
          <w:snapToGrid w:val="0"/>
        </w:rPr>
        <w:t>、支持优质</w:t>
      </w:r>
      <w:r>
        <w:rPr>
          <w:rFonts w:eastAsia="方正黑体_GBK" w:cs="方正仿宋_GBK" w:hint="eastAsia"/>
          <w:snapToGrid w:val="0"/>
        </w:rPr>
        <w:t>房地产企业提质增效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ascii="方正仿宋_GBK" w:eastAsia="方正仿宋_GBK" w:cs="方正仿宋_GBK"/>
          <w:snapToGrid w:val="0"/>
        </w:rPr>
      </w:pPr>
      <w:r>
        <w:rPr>
          <w:rFonts w:ascii="方正仿宋_GBK" w:eastAsia="方正仿宋_GBK" w:cs="方正仿宋_GBK" w:hint="eastAsia"/>
          <w:snapToGrid w:val="0"/>
        </w:rPr>
        <w:t>7. 建立房地产开发企业“白名单”制度，对信誉良好、经营稳健的优质房地产开发企业，允许其调度本市项目的各类保证金等，作为参加主城区土地出让的竞买保证金使用。（责任单位：市住房和城乡建设局）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ascii="方正仿宋_GBK" w:eastAsia="方正仿宋_GBK" w:cs="方正仿宋_GBK"/>
          <w:snapToGrid w:val="0"/>
        </w:rPr>
      </w:pPr>
      <w:r>
        <w:rPr>
          <w:rFonts w:ascii="方正仿宋_GBK" w:eastAsia="方正仿宋_GBK" w:cs="方正仿宋_GBK" w:hint="eastAsia"/>
          <w:snapToGrid w:val="0"/>
        </w:rPr>
        <w:t>8. 经营性用地竞买保证金比例由</w:t>
      </w:r>
      <w:proofErr w:type="gramStart"/>
      <w:r>
        <w:rPr>
          <w:rFonts w:ascii="方正仿宋_GBK" w:eastAsia="方正仿宋_GBK" w:cs="方正仿宋_GBK" w:hint="eastAsia"/>
          <w:snapToGrid w:val="0"/>
        </w:rPr>
        <w:t>出让起挂总价</w:t>
      </w:r>
      <w:proofErr w:type="gramEnd"/>
      <w:r>
        <w:rPr>
          <w:rFonts w:ascii="方正仿宋_GBK" w:eastAsia="方正仿宋_GBK" w:cs="方正仿宋_GBK" w:hint="eastAsia"/>
          <w:snapToGrid w:val="0"/>
        </w:rPr>
        <w:t>的30%降为20%。（责任单位：市自然资源和规划局）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ascii="方正仿宋_GBK" w:eastAsia="方正仿宋_GBK" w:cs="方正仿宋_GBK"/>
          <w:snapToGrid w:val="0"/>
        </w:rPr>
      </w:pPr>
      <w:r>
        <w:rPr>
          <w:rFonts w:ascii="方正仿宋_GBK" w:eastAsia="方正仿宋_GBK" w:cs="方正仿宋_GBK" w:hint="eastAsia"/>
          <w:snapToGrid w:val="0"/>
        </w:rPr>
        <w:t>9. 优化商品房预售政策。分期销售的商品房项目，每期申请预售面积由不低于3万平方米调整为不低于1万平方米。对优质房地产企业预售监管资金实行差别化监管政策，对于三条红线管</w:t>
      </w:r>
      <w:proofErr w:type="gramStart"/>
      <w:r>
        <w:rPr>
          <w:rFonts w:ascii="方正仿宋_GBK" w:eastAsia="方正仿宋_GBK" w:cs="方正仿宋_GBK" w:hint="eastAsia"/>
          <w:snapToGrid w:val="0"/>
        </w:rPr>
        <w:t>控全面</w:t>
      </w:r>
      <w:proofErr w:type="gramEnd"/>
      <w:r>
        <w:rPr>
          <w:rFonts w:ascii="方正仿宋_GBK" w:eastAsia="方正仿宋_GBK" w:cs="方正仿宋_GBK" w:hint="eastAsia"/>
          <w:snapToGrid w:val="0"/>
        </w:rPr>
        <w:t>达标</w:t>
      </w:r>
      <w:proofErr w:type="gramStart"/>
      <w:r>
        <w:rPr>
          <w:rFonts w:ascii="方正仿宋_GBK" w:eastAsia="方正仿宋_GBK" w:cs="方正仿宋_GBK" w:hint="eastAsia"/>
          <w:snapToGrid w:val="0"/>
        </w:rPr>
        <w:t>的绿档房地产</w:t>
      </w:r>
      <w:proofErr w:type="gramEnd"/>
      <w:r>
        <w:rPr>
          <w:rFonts w:ascii="方正仿宋_GBK" w:eastAsia="方正仿宋_GBK" w:cs="方正仿宋_GBK" w:hint="eastAsia"/>
          <w:snapToGrid w:val="0"/>
        </w:rPr>
        <w:t>企业增加一个拨付节点，领取预售证后可申请10%的重点监管资金；对于未设立</w:t>
      </w:r>
      <w:r>
        <w:rPr>
          <w:rFonts w:ascii="方正仿宋_GBK" w:eastAsia="方正仿宋_GBK" w:cs="方正仿宋_GBK" w:hint="eastAsia"/>
          <w:snapToGrid w:val="0"/>
        </w:rPr>
        <w:lastRenderedPageBreak/>
        <w:t>土地和在建工程抵押的项目，重点监管资金额度降低10%；支持房地产企业使用银行保函替换等额商品房预售监管资金。（责任单位：市住房和城乡建设局）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ascii="方正仿宋_GBK" w:eastAsia="方正仿宋_GBK" w:cs="方正仿宋_GBK"/>
          <w:snapToGrid w:val="0"/>
        </w:rPr>
      </w:pPr>
      <w:r>
        <w:rPr>
          <w:rFonts w:ascii="方正仿宋_GBK" w:eastAsia="方正仿宋_GBK" w:cs="方正仿宋_GBK" w:hint="eastAsia"/>
          <w:snapToGrid w:val="0"/>
        </w:rPr>
        <w:t>10. 进一步激发市场活力，优化城市更新安置补偿政策，扩大商品房安置的比例。（责任单位：市住房和城乡建设局、各区政府管委会）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ascii="方正仿宋_GBK" w:eastAsia="方正仿宋_GBK" w:cs="方正仿宋_GBK"/>
          <w:snapToGrid w:val="0"/>
        </w:rPr>
      </w:pPr>
      <w:r>
        <w:rPr>
          <w:rFonts w:ascii="方正仿宋_GBK" w:eastAsia="方正仿宋_GBK" w:cs="方正仿宋_GBK" w:hint="eastAsia"/>
          <w:snapToGrid w:val="0"/>
        </w:rPr>
        <w:t>11. 优化价格备案机制，对有开发高品质住房经验，社会评价良好的优质房地产开发企业，在原有价格备案体系基础上，按照“优质优价”的原则进行价格备案，鼓励其开发更高品质住房。（责任单位：市发展和改革委员会、市住房和城乡建设局）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ascii="方正仿宋_GBK" w:eastAsia="方正仿宋_GBK" w:cs="方正仿宋_GBK"/>
          <w:snapToGrid w:val="0"/>
        </w:rPr>
      </w:pPr>
      <w:r>
        <w:rPr>
          <w:rFonts w:ascii="方正仿宋_GBK" w:eastAsia="方正仿宋_GBK" w:cs="方正仿宋_GBK" w:hint="eastAsia"/>
          <w:snapToGrid w:val="0"/>
        </w:rPr>
        <w:t>12. 及时会商会办房地产企业开发过程中遇到的各类问题，优化完善审图、质监、安</w:t>
      </w:r>
      <w:proofErr w:type="gramStart"/>
      <w:r>
        <w:rPr>
          <w:rFonts w:ascii="方正仿宋_GBK" w:eastAsia="方正仿宋_GBK" w:cs="方正仿宋_GBK" w:hint="eastAsia"/>
          <w:snapToGrid w:val="0"/>
        </w:rPr>
        <w:t>监服务</w:t>
      </w:r>
      <w:proofErr w:type="gramEnd"/>
      <w:r>
        <w:rPr>
          <w:rFonts w:ascii="方正仿宋_GBK" w:eastAsia="方正仿宋_GBK" w:cs="方正仿宋_GBK" w:hint="eastAsia"/>
          <w:snapToGrid w:val="0"/>
        </w:rPr>
        <w:t>流程，工程质量监督与施工许可并联办理，</w:t>
      </w:r>
      <w:proofErr w:type="gramStart"/>
      <w:r>
        <w:rPr>
          <w:rFonts w:ascii="方正仿宋_GBK" w:eastAsia="方正仿宋_GBK" w:cs="方正仿宋_GBK" w:hint="eastAsia"/>
          <w:snapToGrid w:val="0"/>
        </w:rPr>
        <w:t>容缺预审</w:t>
      </w:r>
      <w:proofErr w:type="gramEnd"/>
      <w:r>
        <w:rPr>
          <w:rFonts w:ascii="方正仿宋_GBK" w:eastAsia="方正仿宋_GBK" w:cs="方正仿宋_GBK" w:hint="eastAsia"/>
          <w:snapToGrid w:val="0"/>
        </w:rPr>
        <w:t>，各项行政服务承诺办结时限在法定办结时限的基础上压缩50%以上，商品房预售许可压缩到3个工作日办结。（责任单位：市住房和城乡建设局、市行政审批局）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ascii="方正仿宋_GBK" w:eastAsia="方正仿宋_GBK" w:cs="方正仿宋_GBK"/>
          <w:snapToGrid w:val="0"/>
        </w:rPr>
      </w:pPr>
      <w:r>
        <w:rPr>
          <w:rFonts w:ascii="方正仿宋_GBK" w:eastAsia="方正仿宋_GBK" w:cs="方正仿宋_GBK" w:hint="eastAsia"/>
          <w:snapToGrid w:val="0"/>
        </w:rPr>
        <w:t>本通知自发布之日起执行。原有相关规定与本通知不一致的，按本通知执行。相关条款由各责任单位负责解释并落实。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ascii="方正仿宋_GBK" w:eastAsia="方正仿宋_GBK" w:cs="方正仿宋_GBK"/>
          <w:snapToGrid w:val="0"/>
        </w:rPr>
      </w:pPr>
      <w:r>
        <w:rPr>
          <w:rFonts w:ascii="方正仿宋_GBK" w:eastAsia="方正仿宋_GBK" w:cs="方正仿宋_GBK" w:hint="eastAsia"/>
          <w:snapToGrid w:val="0"/>
        </w:rPr>
        <w:t>各县（市、区）参照执行。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仿宋_GBK" w:cs="方正仿宋_GBK"/>
          <w:snapToGrid w:val="0"/>
        </w:rPr>
      </w:pP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仿宋_GBK" w:cs="方正仿宋_GBK"/>
          <w:snapToGrid w:val="0"/>
        </w:rPr>
      </w:pP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textAlignment w:val="auto"/>
        <w:rPr>
          <w:rFonts w:eastAsia="方正仿宋_GBK" w:cs="方正仿宋_GBK"/>
          <w:snapToGrid w:val="0"/>
        </w:rPr>
      </w:pPr>
      <w:r>
        <w:rPr>
          <w:rFonts w:eastAsia="方正仿宋_GBK" w:cs="方正仿宋_GBK"/>
          <w:snapToGrid w:val="0"/>
        </w:rPr>
        <w:lastRenderedPageBreak/>
        <w:t>南通市住房和城乡建设局</w:t>
      </w:r>
      <w:r>
        <w:rPr>
          <w:rFonts w:eastAsia="方正仿宋_GBK" w:cs="方正仿宋_GBK"/>
          <w:snapToGrid w:val="0"/>
        </w:rPr>
        <w:t xml:space="preserve">     </w:t>
      </w:r>
      <w:r>
        <w:rPr>
          <w:rFonts w:eastAsia="方正仿宋_GBK" w:cs="方正仿宋_GBK"/>
          <w:snapToGrid w:val="0"/>
        </w:rPr>
        <w:t>南通市发展和改革委员会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仿宋_GBK" w:cs="方正仿宋_GBK"/>
          <w:snapToGrid w:val="0"/>
        </w:rPr>
      </w:pP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仿宋_GBK" w:cs="方正仿宋_GBK"/>
          <w:snapToGrid w:val="0"/>
        </w:rPr>
      </w:pP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仿宋_GBK" w:cs="方正仿宋_GBK"/>
          <w:snapToGrid w:val="0"/>
        </w:rPr>
      </w:pP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textAlignment w:val="auto"/>
        <w:rPr>
          <w:rFonts w:eastAsia="方正仿宋_GBK" w:cs="方正仿宋_GBK"/>
          <w:snapToGrid w:val="0"/>
        </w:rPr>
      </w:pPr>
      <w:r>
        <w:rPr>
          <w:rFonts w:eastAsia="方正仿宋_GBK" w:cs="方正仿宋_GBK"/>
          <w:snapToGrid w:val="0"/>
        </w:rPr>
        <w:t>南通市财政局</w:t>
      </w:r>
      <w:r>
        <w:rPr>
          <w:rFonts w:eastAsia="方正仿宋_GBK" w:cs="方正仿宋_GBK"/>
          <w:snapToGrid w:val="0"/>
        </w:rPr>
        <w:t xml:space="preserve">               </w:t>
      </w:r>
      <w:r>
        <w:rPr>
          <w:rFonts w:eastAsia="方正仿宋_GBK" w:cs="方正仿宋_GBK"/>
          <w:snapToGrid w:val="0"/>
        </w:rPr>
        <w:t>南通市自然资源和规划局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仿宋_GBK" w:cs="方正仿宋_GBK"/>
          <w:snapToGrid w:val="0"/>
        </w:rPr>
      </w:pP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仿宋_GBK" w:cs="方正仿宋_GBK"/>
          <w:snapToGrid w:val="0"/>
        </w:rPr>
      </w:pP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仿宋_GBK" w:cs="方正仿宋_GBK"/>
          <w:snapToGrid w:val="0"/>
        </w:rPr>
      </w:pP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仿宋_GBK" w:cs="方正仿宋_GBK"/>
          <w:snapToGrid w:val="0"/>
        </w:rPr>
      </w:pPr>
    </w:p>
    <w:p w:rsidR="00D76D13" w:rsidRDefault="00D76D13" w:rsidP="00D76D13">
      <w:pPr>
        <w:wordWrap w:val="0"/>
        <w:autoSpaceDE w:val="0"/>
        <w:autoSpaceDN w:val="0"/>
        <w:adjustRightInd/>
        <w:snapToGrid w:val="0"/>
        <w:spacing w:line="590" w:lineRule="exact"/>
        <w:textAlignment w:val="auto"/>
        <w:rPr>
          <w:rFonts w:eastAsia="方正仿宋_GBK" w:cs="方正仿宋_GBK"/>
          <w:snapToGrid w:val="0"/>
        </w:rPr>
      </w:pPr>
      <w:r>
        <w:rPr>
          <w:rFonts w:eastAsia="方正仿宋_GBK" w:cs="方正仿宋_GBK"/>
          <w:snapToGrid w:val="0"/>
        </w:rPr>
        <w:t>中国人民银行南通市中心支行</w:t>
      </w:r>
      <w:r>
        <w:rPr>
          <w:rFonts w:eastAsia="方正仿宋_GBK" w:cs="方正仿宋_GBK"/>
          <w:snapToGrid w:val="0"/>
        </w:rPr>
        <w:t xml:space="preserve">   </w:t>
      </w:r>
      <w:r>
        <w:rPr>
          <w:rFonts w:eastAsia="方正仿宋_GBK" w:cs="方正仿宋_GBK"/>
          <w:snapToGrid w:val="0"/>
        </w:rPr>
        <w:t>中国银行保险监督管理</w:t>
      </w:r>
    </w:p>
    <w:p w:rsidR="00D76D13" w:rsidRDefault="00D76D13" w:rsidP="00D76D13">
      <w:pPr>
        <w:wordWrap w:val="0"/>
        <w:autoSpaceDE w:val="0"/>
        <w:autoSpaceDN w:val="0"/>
        <w:adjustRightInd/>
        <w:snapToGrid w:val="0"/>
        <w:spacing w:line="590" w:lineRule="exact"/>
        <w:ind w:rightChars="50" w:right="160"/>
        <w:jc w:val="right"/>
        <w:textAlignment w:val="auto"/>
        <w:rPr>
          <w:rFonts w:eastAsia="方正仿宋_GBK" w:cs="方正仿宋_GBK"/>
          <w:snapToGrid w:val="0"/>
        </w:rPr>
      </w:pPr>
      <w:r>
        <w:rPr>
          <w:rFonts w:eastAsia="方正仿宋_GBK" w:cs="方正仿宋_GBK"/>
          <w:snapToGrid w:val="0"/>
        </w:rPr>
        <w:t>委员会南通监管分局</w:t>
      </w:r>
      <w:r>
        <w:rPr>
          <w:rFonts w:eastAsia="方正仿宋_GBK" w:cs="方正仿宋_GBK"/>
          <w:snapToGrid w:val="0"/>
        </w:rPr>
        <w:t xml:space="preserve"> 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仿宋_GBK" w:cs="方正仿宋_GBK"/>
          <w:snapToGrid w:val="0"/>
        </w:rPr>
      </w:pP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仿宋_GBK" w:cs="方正仿宋_GBK"/>
          <w:snapToGrid w:val="0"/>
        </w:rPr>
      </w:pP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textAlignment w:val="auto"/>
        <w:rPr>
          <w:rFonts w:eastAsia="方正仿宋_GBK" w:cs="方正仿宋_GBK"/>
          <w:snapToGrid w:val="0"/>
        </w:rPr>
      </w:pPr>
      <w:bookmarkStart w:id="0" w:name="_GoBack"/>
      <w:bookmarkEnd w:id="0"/>
      <w:r>
        <w:rPr>
          <w:rFonts w:eastAsia="方正仿宋_GBK" w:cs="方正仿宋_GBK"/>
          <w:snapToGrid w:val="0"/>
        </w:rPr>
        <w:t>南通市住房公积金管理中心</w:t>
      </w: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仿宋_GBK" w:cs="方正仿宋_GBK"/>
          <w:snapToGrid w:val="0"/>
        </w:rPr>
      </w:pP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仿宋_GBK" w:cs="方正仿宋_GBK"/>
          <w:snapToGrid w:val="0"/>
        </w:rPr>
      </w:pPr>
    </w:p>
    <w:p w:rsidR="00D76D13" w:rsidRDefault="00D76D13" w:rsidP="00D76D13">
      <w:pPr>
        <w:autoSpaceDE w:val="0"/>
        <w:autoSpaceDN w:val="0"/>
        <w:adjustRightInd/>
        <w:snapToGrid w:val="0"/>
        <w:spacing w:line="590" w:lineRule="exact"/>
        <w:ind w:firstLineChars="200" w:firstLine="640"/>
        <w:textAlignment w:val="auto"/>
        <w:rPr>
          <w:rFonts w:eastAsia="方正仿宋_GBK" w:cs="方正仿宋_GBK"/>
          <w:snapToGrid w:val="0"/>
        </w:rPr>
      </w:pPr>
    </w:p>
    <w:p w:rsidR="008B7DEA" w:rsidRDefault="00D76D13" w:rsidP="00D76D13">
      <w:pPr>
        <w:jc w:val="right"/>
      </w:pPr>
      <w:r>
        <w:rPr>
          <w:rFonts w:eastAsia="方正仿宋_GBK" w:cs="方正仿宋_GBK"/>
          <w:snapToGrid w:val="0"/>
        </w:rPr>
        <w:t>2022</w:t>
      </w:r>
      <w:r>
        <w:rPr>
          <w:rFonts w:eastAsia="方正仿宋_GBK" w:cs="方正仿宋_GBK"/>
          <w:snapToGrid w:val="0"/>
        </w:rPr>
        <w:t>年</w:t>
      </w:r>
      <w:r>
        <w:rPr>
          <w:rFonts w:eastAsia="方正仿宋_GBK" w:cs="方正仿宋_GBK"/>
          <w:snapToGrid w:val="0"/>
        </w:rPr>
        <w:t>5</w:t>
      </w:r>
      <w:r>
        <w:rPr>
          <w:rFonts w:eastAsia="方正仿宋_GBK" w:cs="方正仿宋_GBK"/>
          <w:snapToGrid w:val="0"/>
        </w:rPr>
        <w:t>月</w:t>
      </w:r>
      <w:r>
        <w:rPr>
          <w:rFonts w:eastAsia="方正仿宋_GBK" w:cs="方正仿宋_GBK"/>
          <w:snapToGrid w:val="0"/>
        </w:rPr>
        <w:t>20</w:t>
      </w:r>
      <w:r>
        <w:rPr>
          <w:rFonts w:eastAsia="方正仿宋_GBK" w:cs="方正仿宋_GBK"/>
          <w:snapToGrid w:val="0"/>
        </w:rPr>
        <w:t>日</w:t>
      </w:r>
    </w:p>
    <w:sectPr w:rsidR="008B7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B7" w:rsidRDefault="00867DB7" w:rsidP="00D76D13">
      <w:pPr>
        <w:spacing w:line="240" w:lineRule="auto"/>
      </w:pPr>
      <w:r>
        <w:separator/>
      </w:r>
    </w:p>
  </w:endnote>
  <w:endnote w:type="continuationSeparator" w:id="0">
    <w:p w:rsidR="00867DB7" w:rsidRDefault="00867DB7" w:rsidP="00D76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B7" w:rsidRDefault="00867DB7" w:rsidP="00D76D13">
      <w:pPr>
        <w:spacing w:line="240" w:lineRule="auto"/>
      </w:pPr>
      <w:r>
        <w:separator/>
      </w:r>
    </w:p>
  </w:footnote>
  <w:footnote w:type="continuationSeparator" w:id="0">
    <w:p w:rsidR="00867DB7" w:rsidRDefault="00867DB7" w:rsidP="00D76D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9A"/>
    <w:rsid w:val="0038689A"/>
    <w:rsid w:val="00867DB7"/>
    <w:rsid w:val="008B7DEA"/>
    <w:rsid w:val="00D7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D1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D1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D13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D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D1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D1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D13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1380</Characters>
  <Application>Microsoft Office Word</Application>
  <DocSecurity>0</DocSecurity>
  <Lines>11</Lines>
  <Paragraphs>3</Paragraphs>
  <ScaleCrop>false</ScaleCrop>
  <Company>微软中国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徐辰</dc:creator>
  <cp:keywords/>
  <dc:description/>
  <cp:lastModifiedBy>徐辰</cp:lastModifiedBy>
  <cp:revision>2</cp:revision>
  <dcterms:created xsi:type="dcterms:W3CDTF">2022-05-24T09:27:00Z</dcterms:created>
  <dcterms:modified xsi:type="dcterms:W3CDTF">2022-05-24T09:29:00Z</dcterms:modified>
</cp:coreProperties>
</file>