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0" w:line="800" w:lineRule="exact"/>
        <w:jc w:val="center"/>
        <w:textAlignment w:val="baseline"/>
        <w:rPr>
          <w:rFonts w:hint="eastAsia" w:ascii="宋体" w:hAnsi="宋体" w:eastAsia="宋体"/>
          <w:color w:val="auto"/>
          <w:w w:val="80"/>
          <w:sz w:val="36"/>
          <w:szCs w:val="36"/>
          <w:highlight w:val="none"/>
          <w:u w:val="none"/>
          <w:lang w:eastAsia="zh-CN"/>
        </w:rPr>
      </w:pPr>
      <w:r>
        <w:rPr>
          <w:rFonts w:hint="eastAsia" w:ascii="宋体" w:hAnsi="宋体" w:eastAsia="宋体"/>
          <w:color w:val="auto"/>
          <w:w w:val="80"/>
          <w:sz w:val="36"/>
          <w:szCs w:val="36"/>
          <w:highlight w:val="none"/>
          <w:u w:val="none"/>
          <w:lang w:eastAsia="zh-CN"/>
        </w:rPr>
        <w:t>南通市大数据管理局oracle数据库运维服务项目需求</w:t>
      </w:r>
    </w:p>
    <w:p>
      <w:pPr>
        <w:pStyle w:val="4"/>
        <w:keepNext w:val="0"/>
        <w:keepLines w:val="0"/>
        <w:pageBreakBefore w:val="0"/>
        <w:kinsoku/>
        <w:wordWrap/>
        <w:overflowPunct/>
        <w:topLinePunct w:val="0"/>
        <w:autoSpaceDE/>
        <w:autoSpaceDN/>
        <w:bidi w:val="0"/>
        <w:spacing w:before="1" w:line="360" w:lineRule="auto"/>
        <w:textAlignment w:val="auto"/>
        <w:rPr>
          <w:rFonts w:hint="eastAsia" w:ascii="宋体" w:hAnsi="宋体" w:eastAsia="宋体" w:cs="宋体"/>
          <w:b/>
          <w:bCs w:val="0"/>
          <w:color w:val="auto"/>
          <w:sz w:val="21"/>
          <w:szCs w:val="21"/>
          <w:highlight w:val="none"/>
        </w:rPr>
      </w:pPr>
      <w:bookmarkStart w:id="0" w:name="二、项目具体需求说明"/>
      <w:bookmarkEnd w:id="0"/>
      <w:r>
        <w:rPr>
          <w:rFonts w:hint="eastAsia" w:ascii="宋体" w:hAnsi="宋体" w:eastAsia="宋体" w:cs="宋体"/>
          <w:b/>
          <w:bCs w:val="0"/>
          <w:color w:val="auto"/>
          <w:sz w:val="21"/>
          <w:szCs w:val="21"/>
          <w:highlight w:val="none"/>
        </w:rPr>
        <w:t>一、采购标的需实现的功能或者目标, 以及为落实政府采购政策需满足的要求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因oracle数据库操作专业性强、应用覆盖面广，为确保我局重要业务系统中oracle数据库的安全稳定运行，现拟购买第三方oracle数据库高级运维服务，为局重要业务系统oracle数据库提供巡检、优化、迁移、排障、应急响应等相关技术支持服务。</w:t>
      </w:r>
    </w:p>
    <w:p>
      <w:pPr>
        <w:pStyle w:val="4"/>
        <w:keepNext w:val="0"/>
        <w:keepLines w:val="0"/>
        <w:pageBreakBefore w:val="0"/>
        <w:kinsoku/>
        <w:wordWrap/>
        <w:overflowPunct/>
        <w:topLinePunct w:val="0"/>
        <w:autoSpaceDE/>
        <w:autoSpaceDN/>
        <w:bidi w:val="0"/>
        <w:spacing w:before="1"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二、采购标的需执行的国家相关标准、行业标准、地方标准或者其他标准、规范如下</w:t>
      </w:r>
    </w:p>
    <w:p>
      <w:pPr>
        <w:pStyle w:val="6"/>
        <w:keepNext w:val="0"/>
        <w:keepLines w:val="0"/>
        <w:pageBreakBefore w:val="0"/>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无</w:t>
      </w:r>
    </w:p>
    <w:p>
      <w:pPr>
        <w:pStyle w:val="4"/>
        <w:keepNext w:val="0"/>
        <w:keepLines w:val="0"/>
        <w:pageBreakBefore w:val="0"/>
        <w:kinsoku/>
        <w:wordWrap/>
        <w:overflowPunct/>
        <w:topLinePunct w:val="0"/>
        <w:autoSpaceDE/>
        <w:autoSpaceDN/>
        <w:bidi w:val="0"/>
        <w:spacing w:before="1"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三、采购标的需满足的质量、安全、技术规格、物理特性等要求如下</w:t>
      </w:r>
    </w:p>
    <w:p>
      <w:pPr>
        <w:pStyle w:val="6"/>
        <w:keepNext w:val="0"/>
        <w:keepLines w:val="0"/>
        <w:pageBreakBefore w:val="0"/>
        <w:kinsoku/>
        <w:wordWrap/>
        <w:overflowPunct/>
        <w:topLinePunct w:val="0"/>
        <w:autoSpaceDE/>
        <w:autoSpaceDN/>
        <w:bidi w:val="0"/>
        <w:spacing w:before="0" w:beforeAutospacing="0" w:after="0" w:afterAutospacing="0" w:line="360" w:lineRule="auto"/>
        <w:ind w:firstLine="56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无</w:t>
      </w:r>
    </w:p>
    <w:p>
      <w:pPr>
        <w:pStyle w:val="4"/>
        <w:keepNext w:val="0"/>
        <w:keepLines w:val="0"/>
        <w:pageBreakBefore w:val="0"/>
        <w:kinsoku/>
        <w:wordWrap/>
        <w:overflowPunct/>
        <w:topLinePunct w:val="0"/>
        <w:autoSpaceDE/>
        <w:autoSpaceDN/>
        <w:bidi w:val="0"/>
        <w:spacing w:before="1"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四、采购标的数量、采购项目交付或者实施的时间和地点</w:t>
      </w:r>
    </w:p>
    <w:p>
      <w:pPr>
        <w:pStyle w:val="9"/>
        <w:keepNext w:val="0"/>
        <w:keepLines w:val="0"/>
        <w:pageBreakBefore w:val="0"/>
        <w:widowControl/>
        <w:kinsoku/>
        <w:wordWrap/>
        <w:overflowPunct/>
        <w:topLinePunct w:val="0"/>
        <w:autoSpaceDE/>
        <w:autoSpaceDN/>
        <w:bidi w:val="0"/>
        <w:adjustRightInd w:val="0"/>
        <w:snapToGrid w:val="0"/>
        <w:spacing w:line="360" w:lineRule="auto"/>
        <w:jc w:val="both"/>
        <w:textAlignment w:val="auto"/>
        <w:outlineLvl w:val="1"/>
        <w:rPr>
          <w:rFonts w:hint="eastAsia" w:ascii="宋体" w:hAnsi="宋体" w:eastAsia="宋体" w:cs="宋体"/>
          <w:color w:val="auto"/>
          <w:sz w:val="21"/>
          <w:szCs w:val="21"/>
          <w:highlight w:val="none"/>
          <w:lang w:val="en-US" w:eastAsia="zh-CN"/>
        </w:rPr>
      </w:pPr>
      <w:bookmarkStart w:id="1" w:name="_Toc11399475"/>
      <w:r>
        <w:rPr>
          <w:rFonts w:hint="eastAsia" w:ascii="宋体" w:hAnsi="宋体" w:eastAsia="宋体" w:cs="宋体"/>
          <w:color w:val="auto"/>
          <w:sz w:val="21"/>
          <w:szCs w:val="21"/>
          <w:highlight w:val="none"/>
          <w:lang w:val="en-US" w:eastAsia="zh-CN"/>
        </w:rPr>
        <w:t>4.1</w:t>
      </w:r>
      <w:bookmarkEnd w:id="1"/>
      <w:r>
        <w:rPr>
          <w:rFonts w:hint="eastAsia" w:ascii="宋体" w:hAnsi="宋体" w:eastAsia="宋体" w:cs="宋体"/>
          <w:color w:val="auto"/>
          <w:sz w:val="21"/>
          <w:szCs w:val="21"/>
          <w:highlight w:val="none"/>
          <w:lang w:val="en-US" w:eastAsia="zh-CN"/>
        </w:rPr>
        <w:t>服务内容：提供为期两年的oracle高级服务，包括：</w:t>
      </w:r>
    </w:p>
    <w:tbl>
      <w:tblPr>
        <w:tblStyle w:val="7"/>
        <w:tblW w:w="4994" w:type="pct"/>
        <w:jc w:val="center"/>
        <w:tblLayout w:type="fixed"/>
        <w:tblCellMar>
          <w:top w:w="0" w:type="dxa"/>
          <w:left w:w="108" w:type="dxa"/>
          <w:bottom w:w="0" w:type="dxa"/>
          <w:right w:w="108" w:type="dxa"/>
        </w:tblCellMar>
      </w:tblPr>
      <w:tblGrid>
        <w:gridCol w:w="498"/>
        <w:gridCol w:w="1205"/>
        <w:gridCol w:w="842"/>
        <w:gridCol w:w="5967"/>
      </w:tblGrid>
      <w:tr>
        <w:tblPrEx>
          <w:tblCellMar>
            <w:top w:w="0" w:type="dxa"/>
            <w:left w:w="108" w:type="dxa"/>
            <w:bottom w:w="0" w:type="dxa"/>
            <w:right w:w="108" w:type="dxa"/>
          </w:tblCellMar>
        </w:tblPrEx>
        <w:trPr>
          <w:trHeight w:val="730" w:hRule="atLeast"/>
          <w:jc w:val="center"/>
        </w:trPr>
        <w:tc>
          <w:tcPr>
            <w:tcW w:w="2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rPr>
            </w:pPr>
            <w:bookmarkStart w:id="2" w:name="_Hlk77602600"/>
            <w:r>
              <w:rPr>
                <w:rFonts w:hint="eastAsia" w:ascii="宋体" w:hAnsi="宋体" w:eastAsia="宋体" w:cs="宋体"/>
                <w:color w:val="auto"/>
                <w:sz w:val="21"/>
                <w:szCs w:val="21"/>
                <w:highlight w:val="none"/>
                <w:shd w:val="clear" w:color="auto" w:fill="auto"/>
              </w:rPr>
              <w:t>序号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服务内容</w:t>
            </w:r>
          </w:p>
        </w:tc>
        <w:tc>
          <w:tcPr>
            <w:tcW w:w="399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工作任务</w:t>
            </w:r>
          </w:p>
        </w:tc>
      </w:tr>
      <w:tr>
        <w:tblPrEx>
          <w:tblCellMar>
            <w:top w:w="0" w:type="dxa"/>
            <w:left w:w="108" w:type="dxa"/>
            <w:bottom w:w="0" w:type="dxa"/>
            <w:right w:w="108" w:type="dxa"/>
          </w:tblCellMar>
        </w:tblPrEx>
        <w:trPr>
          <w:trHeight w:val="440" w:hRule="atLeast"/>
          <w:jc w:val="center"/>
        </w:trPr>
        <w:tc>
          <w:tcPr>
            <w:tcW w:w="29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p>
        </w:tc>
        <w:tc>
          <w:tcPr>
            <w:tcW w:w="707"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紧急事故应变与处理服务</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1.1</w:t>
            </w:r>
          </w:p>
        </w:tc>
        <w:tc>
          <w:tcPr>
            <w:tcW w:w="35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7天*24小时 1小时内顾问电话Support及远端连线Support</w:t>
            </w:r>
          </w:p>
        </w:tc>
      </w:tr>
      <w:tr>
        <w:tblPrEx>
          <w:tblCellMar>
            <w:top w:w="0" w:type="dxa"/>
            <w:left w:w="108" w:type="dxa"/>
            <w:bottom w:w="0" w:type="dxa"/>
            <w:right w:w="108" w:type="dxa"/>
          </w:tblCellMar>
        </w:tblPrEx>
        <w:trPr>
          <w:trHeight w:val="440"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1.2</w:t>
            </w:r>
          </w:p>
        </w:tc>
        <w:tc>
          <w:tcPr>
            <w:tcW w:w="35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7天*24小时 紧急事故2小时内到达维护服务</w:t>
            </w:r>
          </w:p>
        </w:tc>
      </w:tr>
      <w:tr>
        <w:tblPrEx>
          <w:tblCellMar>
            <w:top w:w="0" w:type="dxa"/>
            <w:left w:w="108" w:type="dxa"/>
            <w:bottom w:w="0" w:type="dxa"/>
            <w:right w:w="108" w:type="dxa"/>
          </w:tblCellMar>
        </w:tblPrEx>
        <w:trPr>
          <w:trHeight w:val="440"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1.3</w:t>
            </w:r>
          </w:p>
        </w:tc>
        <w:tc>
          <w:tcPr>
            <w:tcW w:w="35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分析故障原因，并提出相应的解決方案与预防措施</w:t>
            </w:r>
          </w:p>
        </w:tc>
      </w:tr>
      <w:tr>
        <w:tblPrEx>
          <w:tblCellMar>
            <w:top w:w="0" w:type="dxa"/>
            <w:left w:w="108" w:type="dxa"/>
            <w:bottom w:w="0" w:type="dxa"/>
            <w:right w:w="108" w:type="dxa"/>
          </w:tblCellMar>
        </w:tblPrEx>
        <w:trPr>
          <w:trHeight w:val="440" w:hRule="atLeast"/>
          <w:jc w:val="center"/>
        </w:trPr>
        <w:tc>
          <w:tcPr>
            <w:tcW w:w="29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1.4</w:t>
            </w:r>
          </w:p>
        </w:tc>
        <w:tc>
          <w:tcPr>
            <w:tcW w:w="35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数据库宕机紧急应变计划书</w:t>
            </w:r>
          </w:p>
        </w:tc>
      </w:tr>
      <w:tr>
        <w:tblPrEx>
          <w:tblCellMar>
            <w:top w:w="0" w:type="dxa"/>
            <w:left w:w="108" w:type="dxa"/>
            <w:bottom w:w="0" w:type="dxa"/>
            <w:right w:w="108" w:type="dxa"/>
          </w:tblCellMar>
        </w:tblPrEx>
        <w:trPr>
          <w:trHeight w:val="442" w:hRule="atLeast"/>
          <w:jc w:val="center"/>
        </w:trPr>
        <w:tc>
          <w:tcPr>
            <w:tcW w:w="29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p>
        </w:tc>
        <w:tc>
          <w:tcPr>
            <w:tcW w:w="707"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资料库巡检服务</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2.1</w:t>
            </w:r>
          </w:p>
        </w:tc>
        <w:tc>
          <w:tcPr>
            <w:tcW w:w="35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每月到现场数据库健康检查与维护</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2.1.1</w:t>
            </w:r>
          </w:p>
        </w:tc>
        <w:tc>
          <w:tcPr>
            <w:tcW w:w="35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对数据库做健康检查(各记忆体区域命中率等）</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2.1.2</w:t>
            </w:r>
          </w:p>
        </w:tc>
        <w:tc>
          <w:tcPr>
            <w:tcW w:w="350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Database Tablespace 使用状况</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2.1.3</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Oracle Data File Usage Space 报告</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2.1.4</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Lock Table List</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2.1.5</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Invalid Object List</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2.1.6</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Database Job 运行状况</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2.1.7</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Database Alert Log File</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2.1.8</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检查数据库物件的空间扩展情况</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2.1.9</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数据库备份有效性检查</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shd w:val="clear" w:color="auto" w:fill="auto"/>
                <w:lang w:val="en-US" w:eastAsia="zh-CN"/>
              </w:rPr>
              <w:t>2.1.10</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检查后台日志档和trace档记录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shd w:val="clear" w:color="auto" w:fill="auto"/>
                <w:lang w:val="en-US" w:eastAsia="zh-CN"/>
              </w:rPr>
              <w:t>2.1.11</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检查数据库性能，记录系统资源使用情况</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shd w:val="clear" w:color="auto" w:fill="auto"/>
                <w:lang w:val="en-US" w:eastAsia="zh-CN"/>
              </w:rPr>
              <w:t>2.1.12</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讨论并处理数据库存中失效的物件</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shd w:val="clear" w:color="auto" w:fill="auto"/>
                <w:lang w:val="en-US" w:eastAsia="zh-CN"/>
              </w:rPr>
              <w:t>2.1.13</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数据库状态历史资料分析及报错分析</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shd w:val="clear" w:color="auto" w:fill="auto"/>
                <w:lang w:val="en-US" w:eastAsia="zh-CN"/>
              </w:rPr>
              <w:t>2.1.14</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数据库物件空间扩展分析及预测</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shd w:val="clear" w:color="auto" w:fill="auto"/>
                <w:lang w:val="en-US" w:eastAsia="zh-CN"/>
              </w:rPr>
              <w:t>2.1.15</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监控数据分析</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shd w:val="clear" w:color="auto" w:fill="auto"/>
                <w:lang w:val="en-US" w:eastAsia="zh-CN"/>
              </w:rPr>
              <w:t>2.1.16</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主机运行环境检查：CPU/MEM/DISK</w:t>
            </w:r>
          </w:p>
        </w:tc>
      </w:tr>
      <w:tr>
        <w:tblPrEx>
          <w:tblCellMar>
            <w:top w:w="0" w:type="dxa"/>
            <w:left w:w="108" w:type="dxa"/>
            <w:bottom w:w="0" w:type="dxa"/>
            <w:right w:w="108" w:type="dxa"/>
          </w:tblCellMar>
        </w:tblPrEx>
        <w:trPr>
          <w:trHeight w:val="603"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shd w:val="clear" w:color="auto" w:fill="auto"/>
                <w:lang w:val="en-US" w:eastAsia="zh-CN"/>
              </w:rPr>
              <w:t>2.1.17</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作业系统配置检查:作业系统核心参数（Kernel）配置、LVM配置</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shd w:val="clear" w:color="auto" w:fill="auto"/>
                <w:lang w:val="en-US" w:eastAsia="zh-CN"/>
              </w:rPr>
              <w:t>2.1.18</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网路系统配置检查：TCP/IP配置、主机名称、TNS配置</w:t>
            </w:r>
          </w:p>
        </w:tc>
      </w:tr>
      <w:tr>
        <w:tblPrEx>
          <w:tblCellMar>
            <w:top w:w="0" w:type="dxa"/>
            <w:left w:w="108" w:type="dxa"/>
            <w:bottom w:w="0" w:type="dxa"/>
            <w:right w:w="108" w:type="dxa"/>
          </w:tblCellMar>
        </w:tblPrEx>
        <w:trPr>
          <w:trHeight w:val="82" w:hRule="atLeast"/>
          <w:jc w:val="center"/>
        </w:trPr>
        <w:tc>
          <w:tcPr>
            <w:tcW w:w="292" w:type="pct"/>
            <w:vMerge w:val="continue"/>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000000" w:sz="4" w:space="0"/>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shd w:val="clear" w:color="auto" w:fill="auto"/>
                <w:lang w:val="en-US" w:eastAsia="zh-CN"/>
              </w:rPr>
              <w:t>2.1.19</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通过现场巡检方式完成，并提交每次相关检查报告，报告以电子邮件和纸质形式提交</w:t>
            </w:r>
          </w:p>
        </w:tc>
      </w:tr>
      <w:tr>
        <w:tblPrEx>
          <w:tblCellMar>
            <w:top w:w="0" w:type="dxa"/>
            <w:left w:w="108" w:type="dxa"/>
            <w:bottom w:w="0" w:type="dxa"/>
            <w:right w:w="108" w:type="dxa"/>
          </w:tblCellMar>
        </w:tblPrEx>
        <w:trPr>
          <w:trHeight w:val="442" w:hRule="atLeast"/>
          <w:jc w:val="center"/>
        </w:trPr>
        <w:tc>
          <w:tcPr>
            <w:tcW w:w="29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w:t>
            </w:r>
          </w:p>
        </w:tc>
        <w:tc>
          <w:tcPr>
            <w:tcW w:w="707" w:type="pct"/>
            <w:vMerge w:val="restart"/>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kern w:val="2"/>
                <w:sz w:val="21"/>
                <w:szCs w:val="21"/>
                <w:highlight w:val="none"/>
                <w:shd w:val="clear" w:color="auto" w:fill="auto"/>
                <w:lang w:val="en-US" w:eastAsia="zh-CN" w:bidi="ar-SA"/>
              </w:rPr>
              <w:t>数据库优化服务</w:t>
            </w: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3.1</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每季到现场数据库性能优化维护</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3.1.1</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数据库Parameter Tuning</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3.1.2</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数据库 TOP SQL Tuning</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3.1.3</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Table&amp;Index Reorganization</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3.1.4</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数据库IO分析</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3.1.5</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数据库锁分析</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3.1.6</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数据库回滚段竟争分析</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3.1.7</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SQL运行环境检查：Top SQL List、Index使用状况报告</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3.1.8</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Statspack/AWR搜集数据库运行情況，并对结果进行分析与建议</w:t>
            </w:r>
          </w:p>
        </w:tc>
      </w:tr>
      <w:tr>
        <w:tblPrEx>
          <w:tblCellMar>
            <w:top w:w="0" w:type="dxa"/>
            <w:left w:w="108" w:type="dxa"/>
            <w:bottom w:w="0" w:type="dxa"/>
            <w:right w:w="108" w:type="dxa"/>
          </w:tblCellMar>
        </w:tblPrEx>
        <w:trPr>
          <w:trHeight w:val="82"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3.1.9</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通过现场巡检方式完成，并提交每次相关检查报告，反告以电子邮件和纸质形式提交。</w:t>
            </w:r>
          </w:p>
        </w:tc>
      </w:tr>
      <w:tr>
        <w:tblPrEx>
          <w:tblCellMar>
            <w:top w:w="0" w:type="dxa"/>
            <w:left w:w="108" w:type="dxa"/>
            <w:bottom w:w="0" w:type="dxa"/>
            <w:right w:w="108" w:type="dxa"/>
          </w:tblCellMar>
        </w:tblPrEx>
        <w:trPr>
          <w:trHeight w:val="442" w:hRule="atLeast"/>
          <w:jc w:val="center"/>
        </w:trPr>
        <w:tc>
          <w:tcPr>
            <w:tcW w:w="29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w:t>
            </w:r>
          </w:p>
        </w:tc>
        <w:tc>
          <w:tcPr>
            <w:tcW w:w="707" w:type="pct"/>
            <w:vMerge w:val="restart"/>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数据库备份服务</w:t>
            </w: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4.1</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数据库存备份份策略建制</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4.1.1</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数据库备份需求分析</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4.1.2</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数据库备份脚本编写</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4.1.3</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数据库备份策略设置</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4.1.4</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数据库备份情况检查</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4.1.5</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数据库备份策略优化</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4.2</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数据库备份/恢复测试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4.2.1</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提供数据库备份恢复测试方案</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4.2.2</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数据库备份/恢复演练</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4.2.3</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数据库备份恢复测试报告</w:t>
            </w:r>
          </w:p>
        </w:tc>
      </w:tr>
      <w:tr>
        <w:tblPrEx>
          <w:tblCellMar>
            <w:top w:w="0" w:type="dxa"/>
            <w:left w:w="108" w:type="dxa"/>
            <w:bottom w:w="0" w:type="dxa"/>
            <w:right w:w="108" w:type="dxa"/>
          </w:tblCellMar>
        </w:tblPrEx>
        <w:trPr>
          <w:trHeight w:val="442" w:hRule="atLeast"/>
          <w:jc w:val="center"/>
        </w:trPr>
        <w:tc>
          <w:tcPr>
            <w:tcW w:w="29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w:t>
            </w:r>
          </w:p>
        </w:tc>
        <w:tc>
          <w:tcPr>
            <w:tcW w:w="707" w:type="pct"/>
            <w:vMerge w:val="restart"/>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数据库容灾服务(DataGuard)</w:t>
            </w: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5.1</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数据库DataGuard环境建制</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5.1.1</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ORACLE Data Guard测试方案讨论</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5.1.2</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ORACLE Data Gurad测试环境准备</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5.1.3</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ORACLE Data Guard配置</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5.1.4</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ORACLE Data Guard资料同步测试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5.1.5</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ORACLE Data Guard Switchover测试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5.1.6</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ORACLE Data Guard Failover测试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5.1.7</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提交ORACLE Data Guard测试报告</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5.1.8</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ORACLE Data Guard构架正式建制</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5.2</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数据库DataGuard环境维护</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5.2.1</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ORACLE Data Guard资料同步检查</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5.2.2</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ORACLE Data Guard Switchover/Failover定期切换测试</w:t>
            </w:r>
          </w:p>
        </w:tc>
      </w:tr>
      <w:tr>
        <w:tblPrEx>
          <w:tblCellMar>
            <w:top w:w="0" w:type="dxa"/>
            <w:left w:w="108" w:type="dxa"/>
            <w:bottom w:w="0" w:type="dxa"/>
            <w:right w:w="108" w:type="dxa"/>
          </w:tblCellMar>
        </w:tblPrEx>
        <w:trPr>
          <w:trHeight w:val="442" w:hRule="atLeast"/>
          <w:jc w:val="center"/>
        </w:trPr>
        <w:tc>
          <w:tcPr>
            <w:tcW w:w="29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w:t>
            </w:r>
          </w:p>
        </w:tc>
        <w:tc>
          <w:tcPr>
            <w:tcW w:w="707" w:type="pct"/>
            <w:vMerge w:val="restart"/>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数据库高可用服备(RAC)</w:t>
            </w: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6.1</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資料庫DataGuard環境建制</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6.1.1</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RAC安装需求分析</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6.1.2</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RAC安装环境检查</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6.1.3</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RAC安装与配置</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6.1.4</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RAC环境相关测试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●单元测试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OS状况和稳定性测试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网路状况和稳定性测试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存储状况和故障测试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●压力测试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业务运行效率测试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类比生产资料量和访问量整体测试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模拟生产系统集成测试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●故障切换测试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类比网路单点故障测试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类比主机单点故障测试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类比光纤交换机单点故障测试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类比实例单点故障测试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●备份恢复测试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设计备份策略及恢复机制</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测试资料库备份恢复的有效性</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测试作为系统备份恢复的有效性</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测试ocr,votingdisk备份恢复的有效性</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6.1.5</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ORACLE RAC高可用构架正式建制</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6.1.6</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RAC环境上线运行情況监控</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6.2</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数据库RAC环境维护</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6.2.1</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RAC节点增加、刪除服备</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6.2.2</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RAC软体版本升级服务</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6.2.3</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RAC环境物理结构故障处理</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6.2.4</w:t>
            </w:r>
          </w:p>
        </w:tc>
        <w:tc>
          <w:tcPr>
            <w:tcW w:w="3505"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RAC环境RAC环境逻辑结构故障处理</w:t>
            </w:r>
          </w:p>
        </w:tc>
      </w:tr>
      <w:tr>
        <w:tblPrEx>
          <w:tblCellMar>
            <w:top w:w="0" w:type="dxa"/>
            <w:left w:w="108" w:type="dxa"/>
            <w:bottom w:w="0" w:type="dxa"/>
            <w:right w:w="108" w:type="dxa"/>
          </w:tblCellMar>
        </w:tblPrEx>
        <w:trPr>
          <w:trHeight w:val="442" w:hRule="atLeast"/>
          <w:jc w:val="center"/>
        </w:trPr>
        <w:tc>
          <w:tcPr>
            <w:tcW w:w="29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w:t>
            </w:r>
          </w:p>
        </w:tc>
        <w:tc>
          <w:tcPr>
            <w:tcW w:w="707" w:type="pct"/>
            <w:vMerge w:val="restart"/>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数据库资料分区服务(Partition Table)</w:t>
            </w: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7.1</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数据库分区表需求分析</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7.2</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表分区条件检查</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7.3</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普通表转分区表实施</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7.4</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应用程式使用分区表测试</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7.5</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分区表性能监控</w:t>
            </w:r>
          </w:p>
        </w:tc>
      </w:tr>
      <w:tr>
        <w:tblPrEx>
          <w:tblCellMar>
            <w:top w:w="0" w:type="dxa"/>
            <w:left w:w="108" w:type="dxa"/>
            <w:bottom w:w="0" w:type="dxa"/>
            <w:right w:w="108" w:type="dxa"/>
          </w:tblCellMar>
        </w:tblPrEx>
        <w:trPr>
          <w:trHeight w:val="442" w:hRule="atLeast"/>
          <w:jc w:val="center"/>
        </w:trPr>
        <w:tc>
          <w:tcPr>
            <w:tcW w:w="29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w:t>
            </w:r>
          </w:p>
        </w:tc>
        <w:tc>
          <w:tcPr>
            <w:tcW w:w="707" w:type="pct"/>
            <w:vMerge w:val="restart"/>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新应用上线数据库技术支持服务</w:t>
            </w: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8.1</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新应用上线电话技术支持服务</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8.2</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新应用上线按情况紧急需要的上门支持服务</w:t>
            </w:r>
          </w:p>
        </w:tc>
      </w:tr>
      <w:tr>
        <w:tblPrEx>
          <w:tblCellMar>
            <w:top w:w="0" w:type="dxa"/>
            <w:left w:w="108" w:type="dxa"/>
            <w:bottom w:w="0" w:type="dxa"/>
            <w:right w:w="108" w:type="dxa"/>
          </w:tblCellMar>
        </w:tblPrEx>
        <w:trPr>
          <w:trHeight w:val="442" w:hRule="atLeast"/>
          <w:jc w:val="center"/>
        </w:trPr>
        <w:tc>
          <w:tcPr>
            <w:tcW w:w="29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9</w:t>
            </w:r>
          </w:p>
        </w:tc>
        <w:tc>
          <w:tcPr>
            <w:tcW w:w="707" w:type="pct"/>
            <w:vMerge w:val="restart"/>
            <w:tcBorders>
              <w:top w:val="single" w:color="auto" w:sz="4" w:space="0"/>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Oracle数据库系统运维安全管理服务</w:t>
            </w: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9.1</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数据库运维管理流程服务</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9.2</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建立数据库日常安全检查机制</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9.3</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制定数据库日常安全点检内容</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9.4</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定义数据库变更流程</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p>
        </w:tc>
        <w:tc>
          <w:tcPr>
            <w:tcW w:w="707" w:type="pct"/>
            <w:vMerge w:val="continue"/>
            <w:tcBorders>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9.5</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定义数据库紧急服务流程</w:t>
            </w:r>
          </w:p>
        </w:tc>
      </w:tr>
      <w:tr>
        <w:tblPrEx>
          <w:tblCellMar>
            <w:top w:w="0" w:type="dxa"/>
            <w:left w:w="108" w:type="dxa"/>
            <w:bottom w:w="0" w:type="dxa"/>
            <w:right w:w="108" w:type="dxa"/>
          </w:tblCellMar>
        </w:tblPrEx>
        <w:trPr>
          <w:trHeight w:val="442" w:hRule="atLeast"/>
          <w:jc w:val="center"/>
        </w:trPr>
        <w:tc>
          <w:tcPr>
            <w:tcW w:w="292" w:type="pct"/>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10</w:t>
            </w:r>
          </w:p>
        </w:tc>
        <w:tc>
          <w:tcPr>
            <w:tcW w:w="707" w:type="pct"/>
            <w:vMerge w:val="restart"/>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数据库监控服务</w:t>
            </w: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10-1.</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 xml:space="preserve">Real-Time Monitor  </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通过实时监控功能进行数据库7*24小时监控，可设置操作系统、数据库表空间、数据库等待等各种阀值并通过邮件进行报警</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i w:val="0"/>
                <w:iCs w:val="0"/>
                <w:color w:val="auto"/>
                <w:sz w:val="21"/>
                <w:szCs w:val="21"/>
                <w:highlight w:val="none"/>
                <w:shd w:val="clear" w:color="auto" w:fill="auto"/>
                <w:lang w:val="en-US" w:eastAsia="zh-CN"/>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10-2.</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 xml:space="preserve">Logging Controller  </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实时抓取数据库日志</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i w:val="0"/>
                <w:iCs w:val="0"/>
                <w:color w:val="auto"/>
                <w:sz w:val="21"/>
                <w:szCs w:val="21"/>
                <w:highlight w:val="none"/>
                <w:shd w:val="clear" w:color="auto" w:fill="auto"/>
                <w:lang w:val="en-US" w:eastAsia="zh-CN"/>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10-3.</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Performance Analyzer</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通过该组件进行性能分析</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i w:val="0"/>
                <w:iCs w:val="0"/>
                <w:color w:val="auto"/>
                <w:sz w:val="21"/>
                <w:szCs w:val="21"/>
                <w:highlight w:val="none"/>
                <w:shd w:val="clear" w:color="auto" w:fill="auto"/>
                <w:lang w:val="en-US" w:eastAsia="zh-CN"/>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10-4.</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 xml:space="preserve">Session Log Viewer  </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查看实时抓取的数据库异常（或错误）日志，并能实时通过邮件报警</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i w:val="0"/>
                <w:iCs w:val="0"/>
                <w:color w:val="auto"/>
                <w:sz w:val="21"/>
                <w:szCs w:val="21"/>
                <w:highlight w:val="none"/>
                <w:shd w:val="clear" w:color="auto" w:fill="auto"/>
                <w:lang w:val="en-US" w:eastAsia="zh-CN"/>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10-5.</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SQL Plan Viewer</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通过该组件能对SQL语句进行检查和优化</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i w:val="0"/>
                <w:iCs w:val="0"/>
                <w:color w:val="auto"/>
                <w:sz w:val="21"/>
                <w:szCs w:val="21"/>
                <w:highlight w:val="none"/>
                <w:shd w:val="clear" w:color="auto" w:fill="auto"/>
                <w:lang w:val="en-US" w:eastAsia="zh-CN"/>
              </w:rPr>
            </w:pPr>
          </w:p>
        </w:tc>
        <w:tc>
          <w:tcPr>
            <w:tcW w:w="707" w:type="pct"/>
            <w:vMerge w:val="continue"/>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10-6.</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 xml:space="preserve">SQL Planner </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通过该组件能对SQL语句进行检查和优化</w:t>
            </w:r>
          </w:p>
        </w:tc>
      </w:tr>
      <w:tr>
        <w:tblPrEx>
          <w:tblCellMar>
            <w:top w:w="0" w:type="dxa"/>
            <w:left w:w="108" w:type="dxa"/>
            <w:bottom w:w="0" w:type="dxa"/>
            <w:right w:w="108" w:type="dxa"/>
          </w:tblCellMar>
        </w:tblPrEx>
        <w:trPr>
          <w:trHeight w:val="442"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i w:val="0"/>
                <w:iCs w:val="0"/>
                <w:color w:val="auto"/>
                <w:sz w:val="21"/>
                <w:szCs w:val="21"/>
                <w:highlight w:val="none"/>
                <w:shd w:val="clear" w:color="auto" w:fill="auto"/>
                <w:lang w:val="en-US" w:eastAsia="zh-CN"/>
              </w:rPr>
            </w:pPr>
          </w:p>
        </w:tc>
        <w:tc>
          <w:tcPr>
            <w:tcW w:w="707" w:type="pct"/>
            <w:vMerge w:val="continue"/>
            <w:tcBorders>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auto"/>
              </w:rPr>
            </w:pP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10-7.</w:t>
            </w:r>
          </w:p>
        </w:tc>
        <w:tc>
          <w:tcPr>
            <w:tcW w:w="3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 xml:space="preserve">LitePlus </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通过该组件进行基本SQL语句的编写</w:t>
            </w:r>
          </w:p>
        </w:tc>
      </w:tr>
      <w:bookmarkEnd w:id="2"/>
    </w:tbl>
    <w:p>
      <w:pPr>
        <w:pStyle w:val="9"/>
        <w:keepNext w:val="0"/>
        <w:keepLines w:val="0"/>
        <w:pageBreakBefore w:val="0"/>
        <w:widowControl/>
        <w:kinsoku/>
        <w:wordWrap/>
        <w:overflowPunct/>
        <w:topLinePunct w:val="0"/>
        <w:autoSpaceDE/>
        <w:autoSpaceDN/>
        <w:bidi w:val="0"/>
        <w:adjustRightInd w:val="0"/>
        <w:snapToGrid w:val="0"/>
        <w:spacing w:line="360" w:lineRule="auto"/>
        <w:jc w:val="both"/>
        <w:textAlignment w:val="auto"/>
        <w:outlineLvl w:val="1"/>
        <w:rPr>
          <w:rFonts w:hint="eastAsia" w:ascii="宋体" w:hAnsi="宋体" w:eastAsia="宋体" w:cs="宋体"/>
          <w:color w:val="auto"/>
          <w:sz w:val="21"/>
          <w:szCs w:val="21"/>
          <w:highlight w:val="none"/>
          <w:lang w:val="en-US" w:eastAsia="zh-CN"/>
        </w:rPr>
      </w:pPr>
    </w:p>
    <w:p>
      <w:pPr>
        <w:pStyle w:val="9"/>
        <w:keepNext w:val="0"/>
        <w:keepLines w:val="0"/>
        <w:pageBreakBefore w:val="0"/>
        <w:widowControl/>
        <w:kinsoku/>
        <w:wordWrap/>
        <w:overflowPunct/>
        <w:topLinePunct w:val="0"/>
        <w:autoSpaceDE/>
        <w:autoSpaceDN/>
        <w:bidi w:val="0"/>
        <w:adjustRightInd w:val="0"/>
        <w:snapToGrid w:val="0"/>
        <w:spacing w:line="360" w:lineRule="auto"/>
        <w:jc w:val="both"/>
        <w:textAlignment w:val="auto"/>
        <w:outlineLvl w:val="1"/>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4.2.服务时间：自合同签定之日起</w:t>
      </w:r>
      <w:r>
        <w:rPr>
          <w:rFonts w:hint="eastAsia" w:ascii="宋体" w:hAnsi="宋体" w:eastAsia="宋体" w:cs="宋体"/>
          <w:color w:val="auto"/>
          <w:sz w:val="21"/>
          <w:szCs w:val="21"/>
          <w:highlight w:val="none"/>
          <w:lang w:val="en-US" w:eastAsia="zh-CN"/>
        </w:rPr>
        <w:t>两</w:t>
      </w:r>
      <w:r>
        <w:rPr>
          <w:rFonts w:hint="eastAsia" w:ascii="宋体" w:hAnsi="宋体" w:eastAsia="宋体" w:cs="宋体"/>
          <w:color w:val="auto"/>
          <w:sz w:val="21"/>
          <w:szCs w:val="21"/>
          <w:highlight w:val="none"/>
        </w:rPr>
        <w:t>年。</w:t>
      </w:r>
    </w:p>
    <w:p>
      <w:pPr>
        <w:pStyle w:val="9"/>
        <w:keepNext w:val="0"/>
        <w:keepLines w:val="0"/>
        <w:pageBreakBefore w:val="0"/>
        <w:widowControl/>
        <w:kinsoku/>
        <w:wordWrap/>
        <w:overflowPunct/>
        <w:topLinePunct w:val="0"/>
        <w:autoSpaceDE/>
        <w:autoSpaceDN/>
        <w:bidi w:val="0"/>
        <w:adjustRightInd w:val="0"/>
        <w:snapToGrid w:val="0"/>
        <w:spacing w:line="360" w:lineRule="auto"/>
        <w:jc w:val="both"/>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4.3.服务地点：南通市大数据管理局指定地点。</w:t>
      </w:r>
    </w:p>
    <w:p>
      <w:pPr>
        <w:pStyle w:val="4"/>
        <w:keepNext w:val="0"/>
        <w:keepLines w:val="0"/>
        <w:pageBreakBefore w:val="0"/>
        <w:numPr>
          <w:ilvl w:val="0"/>
          <w:numId w:val="1"/>
        </w:numPr>
        <w:kinsoku/>
        <w:wordWrap/>
        <w:overflowPunct/>
        <w:topLinePunct w:val="0"/>
        <w:autoSpaceDE/>
        <w:autoSpaceDN/>
        <w:bidi w:val="0"/>
        <w:spacing w:before="1"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采购标的需满足的服务标准、期限、效率等要求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服务标准及要求：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（1）供应商应针对本项目成立运维服务工作小组，并明确运维服务经理作为招标方工作联系人。运维服务工作小组不少于4人，其中至少包括2名三年以上、1名十年以上高级服务经验的OCP。</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（2）供应商应提供具体的服务方案。服务方案包括服务具体内容、服务范围及分工界面、服务人员、运维流程、服务输出模板等。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（3）故障处理：按照故障事件等级分为紧急事件和一般事件。供应商承诺故障处理响应时间，其中紧急事件处理响应时间不超过10分钟，一般事件处理响应时间不超过20分钟。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（4）供应商需制定维护管理规定，并按照规定中的维护项目、周期和要求，制定详细的作业计划并执行。执行表和巡检报告需要包含具体巡检结果和操作记录。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（5）供应商需每半年度根据招标方要求进行一次维护服务情况汇报。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（6）供应商应提供原厂绿色通道，重大事件或故障可升级由相关领域的高级运维专家团队提供技术支持，快速响应。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协助参与应急演练与应急响应：根据系统特性和各组件的重要性进行针对性演练，在演练前供应商运维服务工程师协助采购方制定演练计划和演练方案，并协助参与演练；当发生重大应急事件时，供应商运维服务工程师在采购方运维部门的牵头下实施应急响应操作，并在事后协助制定重大事件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（8）供应商应根据本项目的特点制定培训方案并提供培训，使采购方运维人员掌握一定比例的理论及实操技能。供应商应承诺服务期内的培训成果并接受相应考核。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（9）运维实施及管理：任何系统运维操作应由运维服务经理审核或者按照工单要求进行操作，不允许出现未授权的配置行为。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（10）重要时刻保障：重要时间节点期间进行系统运行的重点保障。供应商承诺服从采购方安排，按实际要求配置现场或远程人员。供应商应在重大时刻前输出保障方案，保障完成后输出保障总结报告。</w:t>
      </w:r>
    </w:p>
    <w:p>
      <w:pPr>
        <w:pStyle w:val="4"/>
        <w:keepNext w:val="0"/>
        <w:keepLines w:val="0"/>
        <w:pageBreakBefore w:val="0"/>
        <w:numPr>
          <w:ilvl w:val="0"/>
          <w:numId w:val="1"/>
        </w:numPr>
        <w:kinsoku/>
        <w:wordWrap/>
        <w:overflowPunct/>
        <w:topLinePunct w:val="0"/>
        <w:autoSpaceDE/>
        <w:autoSpaceDN/>
        <w:bidi w:val="0"/>
        <w:spacing w:before="1"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采购标的验收标准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采购单位按合同约定积极配合供应商履约，按合同约定及时组织相关技术人员和专家，必要时邀请质检等部门共同参与验收，并出具验收报告，验收合格意见作为支付款项的依据。</w:t>
      </w:r>
    </w:p>
    <w:p>
      <w:pPr>
        <w:pStyle w:val="4"/>
        <w:keepNext w:val="0"/>
        <w:keepLines w:val="0"/>
        <w:pageBreakBefore w:val="0"/>
        <w:numPr>
          <w:ilvl w:val="0"/>
          <w:numId w:val="1"/>
        </w:numPr>
        <w:kinsoku/>
        <w:wordWrap/>
        <w:overflowPunct/>
        <w:topLinePunct w:val="0"/>
        <w:autoSpaceDE/>
        <w:autoSpaceDN/>
        <w:bidi w:val="0"/>
        <w:spacing w:before="1"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采购标的其他技术、服务等要求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p>
      <w:pPr>
        <w:pStyle w:val="4"/>
        <w:keepNext w:val="0"/>
        <w:keepLines w:val="0"/>
        <w:pageBreakBefore w:val="0"/>
        <w:kinsoku/>
        <w:wordWrap/>
        <w:overflowPunct/>
        <w:topLinePunct w:val="0"/>
        <w:autoSpaceDE/>
        <w:autoSpaceDN/>
        <w:bidi w:val="0"/>
        <w:spacing w:before="1"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八、非单一产品采购项目，采购标的中的核心产品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p>
      <w:pPr>
        <w:pStyle w:val="4"/>
        <w:keepNext w:val="0"/>
        <w:keepLines w:val="0"/>
        <w:pageBreakBefore w:val="0"/>
        <w:kinsoku/>
        <w:wordWrap/>
        <w:overflowPunct/>
        <w:topLinePunct w:val="0"/>
        <w:autoSpaceDE/>
        <w:autoSpaceDN/>
        <w:bidi w:val="0"/>
        <w:spacing w:before="1"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九、采购需求中必须满足的实质性要求（请单独列出）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提供的服务内容不允许负偏离。</w:t>
      </w:r>
    </w:p>
    <w:p>
      <w:pPr>
        <w:pStyle w:val="4"/>
        <w:keepNext w:val="0"/>
        <w:keepLines w:val="0"/>
        <w:pageBreakBefore w:val="0"/>
        <w:kinsoku/>
        <w:wordWrap/>
        <w:overflowPunct/>
        <w:topLinePunct w:val="0"/>
        <w:autoSpaceDE/>
        <w:autoSpaceDN/>
        <w:bidi w:val="0"/>
        <w:spacing w:before="1"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本项目维护费按年度支付。第一年维护费在签订合同后10个工作日内支付当前维护年费用100%。第二年维护年费用在维护期满一年，考核评估合格后支付当前维护年费用100%。</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ascii="仿宋" w:hAnsi="仿宋" w:eastAsia="仿宋" w:cs="方正仿宋_GBK"/>
          <w:color w:val="auto"/>
          <w:kern w:val="2"/>
          <w:sz w:val="28"/>
          <w:szCs w:val="28"/>
          <w:highlight w:val="none"/>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494E3"/>
    <w:multiLevelType w:val="singleLevel"/>
    <w:tmpl w:val="5BF494E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A48F2"/>
    <w:rsid w:val="01705C99"/>
    <w:rsid w:val="0B48354A"/>
    <w:rsid w:val="100828AD"/>
    <w:rsid w:val="167421DE"/>
    <w:rsid w:val="187675E6"/>
    <w:rsid w:val="2418219D"/>
    <w:rsid w:val="266D1322"/>
    <w:rsid w:val="299A48F2"/>
    <w:rsid w:val="2A790643"/>
    <w:rsid w:val="32047E1A"/>
    <w:rsid w:val="36BD095F"/>
    <w:rsid w:val="37FF0092"/>
    <w:rsid w:val="51896AF7"/>
    <w:rsid w:val="51937B70"/>
    <w:rsid w:val="6FE611FF"/>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4">
    <w:name w:val="heading 3"/>
    <w:basedOn w:val="1"/>
    <w:next w:val="1"/>
    <w:qFormat/>
    <w:uiPriority w:val="9"/>
    <w:pPr>
      <w:ind w:left="220"/>
      <w:outlineLvl w:val="2"/>
    </w:pPr>
    <w:rPr>
      <w:rFonts w:ascii="仿宋" w:hAnsi="仿宋" w:eastAsia="仿宋" w:cs="仿宋"/>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5">
    <w:name w:val="footer"/>
    <w:basedOn w:val="1"/>
    <w:next w:val="1"/>
    <w:qFormat/>
    <w:uiPriority w:val="0"/>
    <w:pPr>
      <w:tabs>
        <w:tab w:val="center" w:pos="4153"/>
        <w:tab w:val="right" w:pos="8306"/>
      </w:tabs>
      <w:snapToGrid w:val="0"/>
      <w:jc w:val="left"/>
    </w:pPr>
    <w:rPr>
      <w:kern w:val="0"/>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正文"/>
    <w:basedOn w:val="1"/>
    <w:qFormat/>
    <w:uiPriority w:val="0"/>
    <w:pPr>
      <w:spacing w:line="360" w:lineRule="auto"/>
      <w:ind w:firstLine="560" w:firstLineChars="200"/>
      <w:jc w:val="left"/>
    </w:pPr>
    <w:rPr>
      <w:rFonts w:ascii="仿宋_GB2312"/>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2022-11-07T06:44:00Z</dcterms:created>
  <dc:creator>L</dc:creator>
  <cp:lastModifiedBy>L</cp:lastModifiedBy>
  <dcterms:modified xsi:type="dcterms:W3CDTF">2022-11-08T06:43:08Z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653AAB738BB74B1AAFB6ECC2E9E56E21</vt:lpwstr>
  </property>
</Properties>
</file>