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7"/>
          <w:rFonts w:hint="eastAsia" w:ascii="宋体" w:hAnsi="宋体" w:eastAsia="宋体" w:cs="宋体"/>
          <w:b/>
          <w:bCs w:val="0"/>
          <w:color w:val="auto"/>
          <w:w w:val="80"/>
          <w:kern w:val="44"/>
          <w:sz w:val="32"/>
          <w:szCs w:val="32"/>
          <w:highlight w:val="none"/>
          <w:u w:val="none" w:color="auto"/>
          <w:lang w:eastAsia="zh-CN"/>
        </w:rPr>
      </w:pPr>
      <w:bookmarkStart w:id="0" w:name="_GoBack"/>
      <w:r>
        <w:rPr>
          <w:rStyle w:val="7"/>
          <w:rFonts w:hint="eastAsia" w:ascii="宋体" w:hAnsi="宋体" w:eastAsia="宋体" w:cs="宋体"/>
          <w:b/>
          <w:bCs w:val="0"/>
          <w:color w:val="auto"/>
          <w:w w:val="80"/>
          <w:kern w:val="44"/>
          <w:sz w:val="32"/>
          <w:szCs w:val="32"/>
          <w:highlight w:val="none"/>
          <w:u w:val="none" w:color="auto"/>
          <w:lang w:eastAsia="zh-CN"/>
        </w:rPr>
        <w:t>南通市市域社会治理现代化指挥中心12345平台云桌面系统更新项目</w:t>
      </w:r>
      <w:r>
        <w:rPr>
          <w:rStyle w:val="7"/>
          <w:rFonts w:hint="eastAsia" w:ascii="宋体" w:hAnsi="宋体" w:eastAsia="宋体" w:cs="宋体"/>
          <w:b/>
          <w:bCs w:val="0"/>
          <w:color w:val="auto"/>
          <w:w w:val="80"/>
          <w:kern w:val="44"/>
          <w:sz w:val="32"/>
          <w:szCs w:val="32"/>
          <w:highlight w:val="none"/>
          <w:u w:val="none" w:color="auto"/>
          <w:lang w:eastAsia="zh-CN"/>
        </w:rPr>
        <w:t>需求</w:t>
      </w:r>
    </w:p>
    <w:bookmarkEnd w:id="0"/>
    <w:p>
      <w:pPr>
        <w:textAlignment w:val="auto"/>
        <w:outlineLvl w:val="2"/>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lang w:val="zh-CN"/>
        </w:rPr>
        <w:t>项目</w:t>
      </w:r>
      <w:r>
        <w:rPr>
          <w:rFonts w:hint="eastAsia" w:ascii="宋体" w:hAnsi="宋体" w:eastAsia="宋体" w:cs="宋体"/>
          <w:b/>
          <w:bCs/>
          <w:color w:val="auto"/>
          <w:kern w:val="0"/>
          <w:sz w:val="24"/>
          <w:szCs w:val="24"/>
          <w:highlight w:val="none"/>
          <w:lang w:val="en-US" w:eastAsia="zh-CN"/>
        </w:rPr>
        <w:t>概况</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目前12345平台现场坐席采用云桌面运行的形式，主要分部于政务中心停车场楼15，16楼，为了确保省一体化平台的稳定部署及运行，需对现场原有的部分云桌面及配套设备进行更新，部署48套云桌面系统及配套设备，3台服务器部署于15楼设备间，在设备部署的同时需对场地进行部分配套改造，改造内容包括15楼原设备间机柜部署服务器需提供独立供电系统，新增独立供电系统来自UPS，15楼设备间至16楼弱电间部署光纤1组及配套设备（光模块及配套交换机），对48个云桌面地址进行地址分离及调整，对原华为服务器资源调整优化及云桌面地址的重新划分等。</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为确保原有云桌面系统的顺利运行及有效的交割，需实地对项目进行勘探及研究</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现场勘察地点：南通市政务中心停车楼15楼；联系电话：0513-85218081；现场勘察时间：2024年9月13日14点-15点、2024年9月14日14点-15点</w:t>
      </w:r>
      <w:r>
        <w:rPr>
          <w:rFonts w:hint="eastAsia" w:ascii="宋体" w:hAnsi="宋体" w:eastAsia="宋体" w:cs="宋体"/>
          <w:color w:val="auto"/>
          <w:kern w:val="0"/>
          <w:sz w:val="24"/>
          <w:szCs w:val="24"/>
          <w:highlight w:val="none"/>
          <w:lang w:val="zh-CN" w:eastAsia="zh-CN"/>
        </w:rPr>
        <w:t>。同时在</w:t>
      </w:r>
      <w:r>
        <w:rPr>
          <w:rFonts w:hint="eastAsia" w:ascii="宋体" w:hAnsi="宋体" w:eastAsia="宋体" w:cs="宋体"/>
          <w:color w:val="auto"/>
          <w:kern w:val="0"/>
          <w:sz w:val="24"/>
          <w:szCs w:val="24"/>
          <w:highlight w:val="none"/>
          <w:lang w:val="zh-CN"/>
        </w:rPr>
        <w:t>项目实施过程中与现场服务单位做好对接沟通，保证项目及原云桌面系统的顺利平稳运行。</w:t>
      </w:r>
    </w:p>
    <w:p>
      <w:pPr>
        <w:textAlignment w:val="auto"/>
        <w:outlineLvl w:val="2"/>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二、实施内容</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1.部署48套云桌面系统及配套设备。</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2.部署3台服务器在15楼设备间。</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3.15楼原设备间机柜部署服务器需提供独立供电系统，新增独立供电系统来自UPS。</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4.15楼设备间至16楼弱电间部署光纤1组及配套设备（光模块及配套交换机）。</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对48个云桌面地址进行地址分离及调整。</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6.对原华为服务器资源调整优化及云桌面地址的重新划分等。</w:t>
      </w:r>
    </w:p>
    <w:p>
      <w:pPr>
        <w:textAlignment w:val="auto"/>
        <w:outlineLvl w:val="2"/>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三、合同履行期限</w:t>
      </w:r>
    </w:p>
    <w:p>
      <w:pPr>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自合同签订之日起45</w:t>
      </w:r>
      <w:r>
        <w:rPr>
          <w:rFonts w:hint="eastAsia" w:ascii="宋体" w:hAnsi="宋体" w:eastAsia="宋体" w:cs="宋体"/>
          <w:color w:val="auto"/>
          <w:kern w:val="0"/>
          <w:sz w:val="24"/>
          <w:szCs w:val="24"/>
          <w:highlight w:val="none"/>
          <w:lang w:val="zh-CN"/>
        </w:rPr>
        <w:t>日内</w:t>
      </w:r>
      <w:r>
        <w:rPr>
          <w:rFonts w:hint="eastAsia" w:ascii="宋体" w:hAnsi="宋体" w:eastAsia="宋体" w:cs="宋体"/>
          <w:color w:val="auto"/>
          <w:kern w:val="0"/>
          <w:sz w:val="24"/>
          <w:szCs w:val="24"/>
          <w:highlight w:val="none"/>
          <w:lang w:val="en-US" w:eastAsia="zh-CN"/>
        </w:rPr>
        <w:t>完成</w:t>
      </w:r>
      <w:r>
        <w:rPr>
          <w:rFonts w:hint="eastAsia" w:ascii="宋体" w:hAnsi="宋体" w:eastAsia="宋体" w:cs="宋体"/>
          <w:color w:val="auto"/>
          <w:kern w:val="0"/>
          <w:sz w:val="24"/>
          <w:szCs w:val="24"/>
          <w:highlight w:val="none"/>
          <w:lang w:val="zh-CN"/>
        </w:rPr>
        <w:t>。由于施工会产生噪音等影响，因12345平台的话务工作特点，无法在日常办公时间进行施工，只能在</w:t>
      </w:r>
      <w:r>
        <w:rPr>
          <w:rFonts w:hint="eastAsia" w:ascii="宋体" w:hAnsi="宋体" w:eastAsia="宋体" w:cs="宋体"/>
          <w:color w:val="auto"/>
          <w:kern w:val="0"/>
          <w:sz w:val="24"/>
          <w:szCs w:val="24"/>
          <w:highlight w:val="none"/>
          <w:lang w:val="en-US" w:eastAsia="zh-CN"/>
        </w:rPr>
        <w:t>夜间（22:30至次日7:30）期间</w:t>
      </w:r>
      <w:r>
        <w:rPr>
          <w:rFonts w:hint="eastAsia" w:ascii="宋体" w:hAnsi="宋体" w:eastAsia="宋体" w:cs="宋体"/>
          <w:color w:val="auto"/>
          <w:kern w:val="0"/>
          <w:sz w:val="24"/>
          <w:szCs w:val="24"/>
          <w:highlight w:val="none"/>
          <w:lang w:val="zh-CN"/>
        </w:rPr>
        <w:t>进行施工。</w:t>
      </w:r>
    </w:p>
    <w:p>
      <w:pPr>
        <w:textAlignment w:val="auto"/>
        <w:outlineLvl w:val="2"/>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四、实施清单</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3"/>
        <w:gridCol w:w="211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设备名称</w:t>
            </w:r>
          </w:p>
        </w:tc>
        <w:tc>
          <w:tcPr>
            <w:tcW w:w="211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核心产品</w:t>
            </w:r>
            <w:r>
              <w:rPr>
                <w:rFonts w:hint="eastAsia" w:ascii="宋体" w:hAnsi="宋体" w:eastAsia="宋体" w:cs="宋体"/>
                <w:color w:val="auto"/>
                <w:sz w:val="21"/>
                <w:szCs w:val="21"/>
                <w:highlight w:val="none"/>
                <w:lang w:eastAsia="zh-CN"/>
              </w:rPr>
              <w:t>）</w:t>
            </w:r>
          </w:p>
        </w:tc>
        <w:tc>
          <w:tcPr>
            <w:tcW w:w="211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云桌面管理平台及软件授权</w:t>
            </w:r>
          </w:p>
        </w:tc>
        <w:tc>
          <w:tcPr>
            <w:tcW w:w="211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云终端</w:t>
            </w:r>
          </w:p>
        </w:tc>
        <w:tc>
          <w:tcPr>
            <w:tcW w:w="211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211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配套实施</w:t>
            </w:r>
          </w:p>
        </w:tc>
        <w:tc>
          <w:tcPr>
            <w:tcW w:w="211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pPr>
        <w:ind w:firstLine="482" w:firstLineChars="200"/>
        <w:textAlignment w:val="auto"/>
        <w:outlineLvl w:val="2"/>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所有设备及系统提供三年免费维保服务。</w:t>
      </w:r>
    </w:p>
    <w:p>
      <w:pPr>
        <w:textAlignment w:val="auto"/>
        <w:outlineLvl w:val="2"/>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五、技术参数要求</w:t>
      </w:r>
    </w:p>
    <w:p>
      <w:pPr>
        <w:pStyle w:val="4"/>
        <w:kinsoku w:val="0"/>
        <w:topLinePunct/>
        <w:autoSpaceDE w:val="0"/>
        <w:autoSpaceDN w:val="0"/>
        <w:snapToGrid w:val="0"/>
        <w:ind w:left="172" w:leftChars="66" w:right="210" w:firstLine="388" w:firstLineChars="162"/>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1.服务器</w:t>
      </w:r>
    </w:p>
    <w:tbl>
      <w:tblPr>
        <w:tblStyle w:val="5"/>
        <w:tblW w:w="86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417" w:type="dxa"/>
            <w:shd w:val="clear" w:color="auto" w:fill="auto"/>
            <w:vAlign w:val="center"/>
          </w:tcPr>
          <w:p>
            <w:pP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指标项</w:t>
            </w:r>
          </w:p>
        </w:tc>
        <w:tc>
          <w:tcPr>
            <w:tcW w:w="7257" w:type="dxa"/>
            <w:shd w:val="clear" w:color="auto" w:fill="auto"/>
            <w:vAlign w:val="center"/>
          </w:tcPr>
          <w:p>
            <w:pP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外型</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2U机架式服务器，配置原厂导轨、安全面板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★处理器</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实配≥2颗国产化C86架构处理器，性能≥ 2.5GHz/16核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实配≥320GB DDR4内存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实配≥2*480GB SSD硬盘，≥2*1.92TB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磁盘阵列卡</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配置独立Raid阵列卡，支持RAID0/1/10/5/6/50/60，≥2GB缓存，支持缓存数据保护，且后备保护时间不受限制；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PCIE插槽</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支持≥10个PCIe 4.0插槽；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★网卡</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配置≥4个10/100/1000M-BaseT 以太网接口+2端口万兆光接口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冗余性</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实配双电源、冗余风扇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环境温度</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长期工作环境温度支持5-40度。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设备稳定性</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设备静电放电抗扰度、电磁场辐射抗扰度、连续波传导抗扰度、工频磁场抗扰度、浪涌抗扰度、脉冲群抗扰度等全部需经过第三方权威测试机构检测，要求测试达到A级，</w:t>
            </w:r>
            <w:r>
              <w:rPr>
                <w:rFonts w:hint="eastAsia" w:ascii="宋体" w:hAnsi="宋体" w:eastAsia="宋体" w:cs="宋体"/>
                <w:b/>
                <w:bCs/>
                <w:color w:val="auto"/>
                <w:kern w:val="0"/>
                <w:sz w:val="21"/>
                <w:szCs w:val="21"/>
                <w:highlight w:val="none"/>
              </w:rPr>
              <w:t>投标时提供相关测试报告复印件证明</w:t>
            </w:r>
            <w:r>
              <w:rPr>
                <w:rFonts w:hint="eastAsia" w:ascii="宋体" w:hAnsi="宋体" w:eastAsia="宋体" w:cs="宋体"/>
                <w:b/>
                <w:color w:val="auto"/>
                <w:kern w:val="0"/>
                <w:sz w:val="21"/>
                <w:szCs w:val="21"/>
                <w:highlight w:val="none"/>
              </w:rPr>
              <w:t>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可管理性</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配置≥1Gb独立的远程管理控制端口；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w:t>
            </w:r>
          </w:p>
        </w:tc>
        <w:tc>
          <w:tcPr>
            <w:tcW w:w="7257" w:type="dxa"/>
            <w:shd w:val="clear" w:color="auto" w:fill="auto"/>
            <w:vAlign w:val="center"/>
          </w:tcPr>
          <w:p>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为考虑方案整体兼容性，所投服务器、云桌面软件以及云终端需采用</w:t>
            </w:r>
            <w:r>
              <w:rPr>
                <w:rFonts w:hint="eastAsia" w:ascii="宋体" w:hAnsi="宋体" w:eastAsia="宋体" w:cs="宋体"/>
                <w:b/>
                <w:color w:val="auto"/>
                <w:kern w:val="0"/>
                <w:sz w:val="21"/>
                <w:szCs w:val="21"/>
                <w:highlight w:val="none"/>
                <w:lang w:val="en-US" w:eastAsia="zh-CN"/>
              </w:rPr>
              <w:t>同</w:t>
            </w:r>
            <w:r>
              <w:rPr>
                <w:rFonts w:hint="eastAsia" w:ascii="宋体" w:hAnsi="宋体" w:eastAsia="宋体" w:cs="宋体"/>
                <w:b/>
                <w:color w:val="auto"/>
                <w:kern w:val="0"/>
                <w:sz w:val="21"/>
                <w:szCs w:val="21"/>
                <w:highlight w:val="none"/>
              </w:rPr>
              <w:t>一品牌，投标时提供承诺函并加盖</w:t>
            </w: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公章。</w:t>
            </w:r>
          </w:p>
        </w:tc>
      </w:tr>
    </w:tbl>
    <w:p>
      <w:pPr>
        <w:pStyle w:val="4"/>
        <w:kinsoku w:val="0"/>
        <w:topLinePunct/>
        <w:autoSpaceDE w:val="0"/>
        <w:autoSpaceDN w:val="0"/>
        <w:snapToGrid w:val="0"/>
        <w:ind w:left="172" w:leftChars="66" w:right="210" w:firstLine="388" w:firstLineChars="162"/>
        <w:contextualSpacing/>
        <w:rPr>
          <w:rFonts w:hint="eastAsia" w:ascii="宋体" w:hAnsi="宋体" w:eastAsia="宋体" w:cs="宋体"/>
          <w:color w:val="auto"/>
          <w:kern w:val="0"/>
          <w:sz w:val="24"/>
          <w:szCs w:val="24"/>
          <w:highlight w:val="none"/>
          <w:lang w:val="en-US" w:eastAsia="zh-CN"/>
        </w:rPr>
      </w:pPr>
    </w:p>
    <w:p>
      <w:pPr>
        <w:pStyle w:val="4"/>
        <w:kinsoku w:val="0"/>
        <w:topLinePunct/>
        <w:autoSpaceDE w:val="0"/>
        <w:autoSpaceDN w:val="0"/>
        <w:snapToGrid w:val="0"/>
        <w:ind w:left="172" w:leftChars="66" w:right="210" w:firstLine="388" w:firstLineChars="162"/>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2.云桌面软件</w:t>
      </w:r>
    </w:p>
    <w:tbl>
      <w:tblPr>
        <w:tblStyle w:val="5"/>
        <w:tblW w:w="8688" w:type="dxa"/>
        <w:tblInd w:w="113" w:type="dxa"/>
        <w:tblLayout w:type="fixed"/>
        <w:tblCellMar>
          <w:top w:w="0" w:type="dxa"/>
          <w:left w:w="108" w:type="dxa"/>
          <w:bottom w:w="0" w:type="dxa"/>
          <w:right w:w="108" w:type="dxa"/>
        </w:tblCellMar>
      </w:tblPr>
      <w:tblGrid>
        <w:gridCol w:w="1300"/>
        <w:gridCol w:w="7388"/>
      </w:tblGrid>
      <w:tr>
        <w:tblPrEx>
          <w:tblCellMar>
            <w:top w:w="0" w:type="dxa"/>
            <w:left w:w="108" w:type="dxa"/>
            <w:bottom w:w="0" w:type="dxa"/>
            <w:right w:w="108" w:type="dxa"/>
          </w:tblCellMar>
        </w:tblPrEx>
        <w:trPr>
          <w:trHeight w:val="33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指标项</w:t>
            </w:r>
          </w:p>
        </w:tc>
        <w:tc>
          <w:tcPr>
            <w:tcW w:w="738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技术参数要求</w:t>
            </w:r>
          </w:p>
        </w:tc>
      </w:tr>
      <w:tr>
        <w:tblPrEx>
          <w:tblCellMar>
            <w:top w:w="0" w:type="dxa"/>
            <w:left w:w="108" w:type="dxa"/>
            <w:bottom w:w="0" w:type="dxa"/>
            <w:right w:w="108" w:type="dxa"/>
          </w:tblCellMar>
        </w:tblPrEx>
        <w:trPr>
          <w:trHeight w:val="33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授权要求</w:t>
            </w:r>
          </w:p>
        </w:tc>
        <w:tc>
          <w:tcPr>
            <w:tcW w:w="738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要求提供不少于48个软件接入授权，要求授权不限制资源发布类型，包含但不限于静态桌面、动态桌面、VGPU桌面及共享应用多种资源类型； </w:t>
            </w:r>
          </w:p>
          <w:p>
            <w:pPr>
              <w:widowControl/>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配套国产操作系统。</w:t>
            </w:r>
          </w:p>
        </w:tc>
      </w:tr>
      <w:tr>
        <w:tblPrEx>
          <w:tblCellMar>
            <w:top w:w="0" w:type="dxa"/>
            <w:left w:w="108" w:type="dxa"/>
            <w:bottom w:w="0" w:type="dxa"/>
            <w:right w:w="108" w:type="dxa"/>
          </w:tblCellMar>
        </w:tblPrEx>
        <w:trPr>
          <w:trHeight w:val="255" w:hRule="atLeast"/>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自主研发</w:t>
            </w:r>
          </w:p>
        </w:tc>
        <w:tc>
          <w:tcPr>
            <w:tcW w:w="738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国产品牌，要求云桌面系统及终端系统同一品牌且完全自主研发；</w:t>
            </w:r>
          </w:p>
        </w:tc>
      </w:tr>
      <w:tr>
        <w:tblPrEx>
          <w:tblCellMar>
            <w:top w:w="0" w:type="dxa"/>
            <w:left w:w="108" w:type="dxa"/>
            <w:bottom w:w="0" w:type="dxa"/>
            <w:right w:w="108" w:type="dxa"/>
          </w:tblCellMar>
        </w:tblPrEx>
        <w:trPr>
          <w:trHeight w:val="330" w:hRule="atLeast"/>
        </w:trPr>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基本要求</w:t>
            </w: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兼容主流服务器，包括但不限于鲲鹏、飞腾、海光等，提供兼容互认证证书；</w:t>
            </w:r>
          </w:p>
        </w:tc>
      </w:tr>
      <w:tr>
        <w:tblPrEx>
          <w:tblCellMar>
            <w:top w:w="0" w:type="dxa"/>
            <w:left w:w="108" w:type="dxa"/>
            <w:bottom w:w="0" w:type="dxa"/>
            <w:right w:w="108" w:type="dxa"/>
          </w:tblCellMar>
        </w:tblPrEx>
        <w:trPr>
          <w:trHeight w:val="1408"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虚拟机兼容主流操作系统，包括Windows、Windows7、Windows10、、windows11、神州网信、Windows server2016；Linux：Redhat/Ubuntu/CentOS；信创OS：UOS/银河麒麟V10/凝思磐石等。</w:t>
            </w:r>
          </w:p>
        </w:tc>
      </w:tr>
      <w:tr>
        <w:tblPrEx>
          <w:tblCellMar>
            <w:top w:w="0" w:type="dxa"/>
            <w:left w:w="108" w:type="dxa"/>
            <w:bottom w:w="0" w:type="dxa"/>
            <w:right w:w="108" w:type="dxa"/>
          </w:tblCellMar>
        </w:tblPrEx>
        <w:trPr>
          <w:trHeight w:val="102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满足多种办公场景并存的要求，支持主流云桌面应用架构，具备发布VDI、IDV、VOI/TCI、虚拟应用、共享桌面及物理机桌面等多种桌面及应用服务的能力，可通过一个平台进行统一纳管；</w:t>
            </w:r>
            <w:r>
              <w:rPr>
                <w:rFonts w:hint="eastAsia" w:ascii="宋体" w:hAnsi="宋体" w:eastAsia="宋体" w:cs="宋体"/>
                <w:b/>
                <w:color w:val="auto"/>
                <w:kern w:val="0"/>
                <w:sz w:val="21"/>
                <w:szCs w:val="21"/>
                <w:highlight w:val="none"/>
              </w:rPr>
              <w:t>投标时提供含CNAS标识的第三方测试报告并加盖厂商公章，保留中标后测试的权利。</w:t>
            </w:r>
          </w:p>
        </w:tc>
      </w:tr>
      <w:tr>
        <w:tblPrEx>
          <w:tblCellMar>
            <w:top w:w="0" w:type="dxa"/>
            <w:left w:w="108" w:type="dxa"/>
            <w:bottom w:w="0" w:type="dxa"/>
            <w:right w:w="108" w:type="dxa"/>
          </w:tblCellMar>
        </w:tblPrEx>
        <w:trPr>
          <w:trHeight w:val="750" w:hRule="atLeast"/>
        </w:trPr>
        <w:tc>
          <w:tcPr>
            <w:tcW w:w="1300"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可维护性</w:t>
            </w: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了提高上线效率，降低运维复杂度，本项目要求涉及的虚拟化、云桌面及云盘所有组件完全集成化，即仅安装一个系统就可以完成部署。维护方面也不需要维护多套管理平台，一套管理平台即可完成服务器、虚拟存储、虚拟桌面、云盘等相关组件的管理运维工作。</w:t>
            </w:r>
          </w:p>
        </w:tc>
      </w:tr>
      <w:tr>
        <w:tblPrEx>
          <w:tblCellMar>
            <w:top w:w="0" w:type="dxa"/>
            <w:left w:w="108" w:type="dxa"/>
            <w:bottom w:w="0" w:type="dxa"/>
            <w:right w:w="108" w:type="dxa"/>
          </w:tblCellMar>
        </w:tblPrEx>
        <w:trPr>
          <w:trHeight w:val="735"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系统内置初始化及关键功能配置向导，当服务器或服务器集群在第一次部署或常用操作日常配置时，平台均可提供简化步骤的向导操作，有效防止用户误操作。</w:t>
            </w:r>
          </w:p>
        </w:tc>
      </w:tr>
      <w:tr>
        <w:tblPrEx>
          <w:tblCellMar>
            <w:top w:w="0" w:type="dxa"/>
            <w:left w:w="108" w:type="dxa"/>
            <w:bottom w:w="0" w:type="dxa"/>
            <w:right w:w="108" w:type="dxa"/>
          </w:tblCellMar>
        </w:tblPrEx>
        <w:trPr>
          <w:trHeight w:val="765"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具备灵活的策略下发规则，策略授权对象包括但不限于用户、桌面、终端等，支持设置策略优先级及生效时间。当用户授权多策略的时候按照策略优先级生效。</w:t>
            </w:r>
          </w:p>
        </w:tc>
      </w:tr>
      <w:tr>
        <w:tblPrEx>
          <w:tblCellMar>
            <w:top w:w="0" w:type="dxa"/>
            <w:left w:w="108" w:type="dxa"/>
            <w:bottom w:w="0" w:type="dxa"/>
            <w:right w:w="108" w:type="dxa"/>
          </w:tblCellMar>
        </w:tblPrEx>
        <w:trPr>
          <w:trHeight w:val="699"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为确保云桌面广泛适用性，要求支持云桌面核心显示协议的灵活配置，包括带宽、视频显示参数、高级编码参数、图像编码参数等。同时支持对协议通道的带宽限制，包括总体带宽限制和各个通道的带宽限制，如外设、摄像头、多媒体、网页重定向、vGPU、剪贴板、打印机、串口、并口等。</w:t>
            </w:r>
            <w:r>
              <w:rPr>
                <w:rFonts w:hint="eastAsia" w:ascii="宋体" w:hAnsi="宋体" w:eastAsia="宋体" w:cs="宋体"/>
                <w:b/>
                <w:color w:val="auto"/>
                <w:kern w:val="0"/>
                <w:sz w:val="21"/>
                <w:szCs w:val="21"/>
                <w:highlight w:val="none"/>
              </w:rPr>
              <w:t>投标时提供含CNAS标识的第三方测试报告并加盖厂商公章，保留中标后测试的权利。</w:t>
            </w:r>
          </w:p>
        </w:tc>
      </w:tr>
      <w:tr>
        <w:tblPrEx>
          <w:tblCellMar>
            <w:top w:w="0" w:type="dxa"/>
            <w:left w:w="108" w:type="dxa"/>
            <w:bottom w:w="0" w:type="dxa"/>
            <w:right w:w="108" w:type="dxa"/>
          </w:tblCellMar>
        </w:tblPrEx>
        <w:trPr>
          <w:trHeight w:val="660"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支持针对桌面池配置定时任务策略，定时任务包括但不限于关机、开机、重启、手工桌面池还原、创建快照、还原快照和部署桌面、驱动更新。</w:t>
            </w:r>
          </w:p>
        </w:tc>
      </w:tr>
      <w:tr>
        <w:tblPrEx>
          <w:tblCellMar>
            <w:top w:w="0" w:type="dxa"/>
            <w:left w:w="108" w:type="dxa"/>
            <w:bottom w:w="0" w:type="dxa"/>
            <w:right w:w="108" w:type="dxa"/>
          </w:tblCellMar>
        </w:tblPrEx>
        <w:trPr>
          <w:trHeight w:val="1320"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了便于软件的日常更新和维护，要求云桌面管理平台支持批量对桌面池中的虚拟机进行软件分发操作，将需要安装的软件直接下发到用户使用的虚拟机中，而不必在每个虚拟机上进行手动软件安装。软件分发过程不影响用户存放在C盘或者其他磁盘的个人数据，也不影响用户自行安装软件的正常使用。</w:t>
            </w:r>
          </w:p>
        </w:tc>
      </w:tr>
      <w:tr>
        <w:tblPrEx>
          <w:tblCellMar>
            <w:top w:w="0" w:type="dxa"/>
            <w:left w:w="108" w:type="dxa"/>
            <w:bottom w:w="0" w:type="dxa"/>
            <w:right w:w="108" w:type="dxa"/>
          </w:tblCellMar>
        </w:tblPrEx>
        <w:trPr>
          <w:trHeight w:val="660"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支持一键巡检功能，帮助管理员快速了解整个平台的运行状态、性能以及可能存在的安全隐患。对于检测异常的指标项，系统会提供有效的改进建议，确保业务系统稳定可靠的运行。</w:t>
            </w:r>
          </w:p>
        </w:tc>
      </w:tr>
      <w:tr>
        <w:tblPrEx>
          <w:tblCellMar>
            <w:top w:w="0" w:type="dxa"/>
            <w:left w:w="108" w:type="dxa"/>
            <w:bottom w:w="0" w:type="dxa"/>
            <w:right w:w="108" w:type="dxa"/>
          </w:tblCellMar>
        </w:tblPrEx>
        <w:trPr>
          <w:trHeight w:val="660"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支持文件分发功能，方便管理员发送文件给单个桌面或者多个桌面。该功能不依赖于第三方软件实现，无需额外付费即可使用，  </w:t>
            </w:r>
          </w:p>
        </w:tc>
      </w:tr>
      <w:tr>
        <w:tblPrEx>
          <w:tblCellMar>
            <w:top w:w="0" w:type="dxa"/>
            <w:left w:w="108" w:type="dxa"/>
            <w:bottom w:w="0" w:type="dxa"/>
            <w:right w:w="108" w:type="dxa"/>
          </w:tblCellMar>
        </w:tblPrEx>
        <w:trPr>
          <w:trHeight w:val="1245"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云桌面管理平台自带消息推送功能，消息类型不限于文本及URL，设置定时推送消息策略，平台会自动统计已经成功读取消息的的回执信息。</w:t>
            </w:r>
          </w:p>
        </w:tc>
      </w:tr>
      <w:tr>
        <w:tblPrEx>
          <w:tblCellMar>
            <w:top w:w="0" w:type="dxa"/>
            <w:left w:w="108" w:type="dxa"/>
            <w:bottom w:w="0" w:type="dxa"/>
            <w:right w:w="108" w:type="dxa"/>
          </w:tblCellMar>
        </w:tblPrEx>
        <w:trPr>
          <w:trHeight w:val="660" w:hRule="atLeast"/>
        </w:trPr>
        <w:tc>
          <w:tcPr>
            <w:tcW w:w="130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支持通过控制台将命令或附件下发到指定终端或桌面，实现远程运维，方便管理人员对虚拟机或终端进行远程故障排查。</w:t>
            </w:r>
          </w:p>
        </w:tc>
      </w:tr>
      <w:tr>
        <w:tblPrEx>
          <w:tblCellMar>
            <w:top w:w="0" w:type="dxa"/>
            <w:left w:w="108" w:type="dxa"/>
            <w:bottom w:w="0" w:type="dxa"/>
            <w:right w:w="108" w:type="dxa"/>
          </w:tblCellMar>
        </w:tblPrEx>
        <w:trPr>
          <w:trHeight w:val="735" w:hRule="atLeast"/>
        </w:trPr>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用户体验</w:t>
            </w: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用户登录到网络上的任意一台计算机时，会自动加载所属配置文件，不会因动态桌面池随机分配桌面、桌面系统故障、系统盘还原等原因导用户其配置文件丢失。支持同一户相同系统下不同架构终端（VDI/IDV /VOI)的用户配置漫游。</w:t>
            </w:r>
          </w:p>
        </w:tc>
      </w:tr>
      <w:tr>
        <w:tblPrEx>
          <w:tblCellMar>
            <w:top w:w="0" w:type="dxa"/>
            <w:left w:w="108" w:type="dxa"/>
            <w:bottom w:w="0" w:type="dxa"/>
            <w:right w:w="108" w:type="dxa"/>
          </w:tblCellMar>
        </w:tblPrEx>
        <w:trPr>
          <w:trHeight w:val="495"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支持双屏扩展显示需求，满足多屏办公需求。 </w:t>
            </w:r>
          </w:p>
        </w:tc>
      </w:tr>
      <w:tr>
        <w:tblPrEx>
          <w:tblCellMar>
            <w:top w:w="0" w:type="dxa"/>
            <w:left w:w="108" w:type="dxa"/>
            <w:bottom w:w="0" w:type="dxa"/>
            <w:right w:w="108" w:type="dxa"/>
          </w:tblCellMar>
        </w:tblPrEx>
        <w:trPr>
          <w:trHeight w:val="660"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为保证不同的业务使用需求，支持为一个用户分配多个云桌面，当显示多个云桌面时，支持设置默认桌面，开机自动登录。支持多个云桌面同时工作并通过导航栏切换按钮灵活进行切换。</w:t>
            </w:r>
          </w:p>
        </w:tc>
      </w:tr>
      <w:tr>
        <w:tblPrEx>
          <w:tblCellMar>
            <w:top w:w="0" w:type="dxa"/>
            <w:left w:w="108" w:type="dxa"/>
            <w:bottom w:w="0" w:type="dxa"/>
            <w:right w:w="108" w:type="dxa"/>
          </w:tblCellMar>
        </w:tblPrEx>
        <w:trPr>
          <w:trHeight w:val="495"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用户可以在桌面连接客户端界面上自助执行快照备份，虚拟桌面异常（比如：中毒、连续多次蓝屏）时，可以通过快照自助回退到正常状态。</w:t>
            </w:r>
            <w:r>
              <w:rPr>
                <w:rFonts w:hint="eastAsia" w:ascii="宋体" w:hAnsi="宋体" w:eastAsia="宋体" w:cs="宋体"/>
                <w:b/>
                <w:color w:val="auto"/>
                <w:kern w:val="0"/>
                <w:sz w:val="21"/>
                <w:szCs w:val="21"/>
                <w:highlight w:val="none"/>
              </w:rPr>
              <w:t>投标时提供含CNAS标识的第三方测试报告并加盖厂商公章，保留中标后测试的权利。</w:t>
            </w:r>
          </w:p>
        </w:tc>
      </w:tr>
      <w:tr>
        <w:tblPrEx>
          <w:tblCellMar>
            <w:top w:w="0" w:type="dxa"/>
            <w:left w:w="108" w:type="dxa"/>
            <w:bottom w:w="0" w:type="dxa"/>
            <w:right w:w="108" w:type="dxa"/>
          </w:tblCellMar>
        </w:tblPrEx>
        <w:trPr>
          <w:trHeight w:val="330"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支持联动关机功能，关闭操作系统的同时瘦终端自动关闭。</w:t>
            </w:r>
          </w:p>
        </w:tc>
      </w:tr>
      <w:tr>
        <w:tblPrEx>
          <w:tblCellMar>
            <w:top w:w="0" w:type="dxa"/>
            <w:left w:w="108" w:type="dxa"/>
            <w:bottom w:w="0" w:type="dxa"/>
            <w:right w:w="108" w:type="dxa"/>
          </w:tblCellMar>
        </w:tblPrEx>
        <w:trPr>
          <w:trHeight w:val="735" w:hRule="atLeast"/>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一键求助便于用户在虚拟机使用过程中的问题及时求助，平台会列举一些常见的问题供用户选择，支持发送问题截屏、系统及终端日志给管理员。支持同步发送用户信息至管理员，比如姓名、电话等信息，便于管理员联系解决问题。</w:t>
            </w:r>
            <w:r>
              <w:rPr>
                <w:rFonts w:hint="eastAsia" w:ascii="宋体" w:hAnsi="宋体" w:eastAsia="宋体" w:cs="宋体"/>
                <w:b/>
                <w:color w:val="auto"/>
                <w:kern w:val="0"/>
                <w:sz w:val="21"/>
                <w:szCs w:val="21"/>
                <w:highlight w:val="none"/>
              </w:rPr>
              <w:t>投标时提供含CNAS标识的第三方测试报告并加盖厂商公章，保留中标后测试的权利。</w:t>
            </w:r>
          </w:p>
        </w:tc>
      </w:tr>
      <w:tr>
        <w:tblPrEx>
          <w:tblCellMar>
            <w:top w:w="0" w:type="dxa"/>
            <w:left w:w="108" w:type="dxa"/>
            <w:bottom w:w="0" w:type="dxa"/>
            <w:right w:w="108" w:type="dxa"/>
          </w:tblCellMar>
        </w:tblPrEx>
        <w:trPr>
          <w:trHeight w:val="660" w:hRule="atLeast"/>
        </w:trPr>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高可靠性</w:t>
            </w: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支持管理节点双机热备保障，当主管理节点发生故障时，通过主备管理节点的切换，保证业务不中断。</w:t>
            </w:r>
          </w:p>
        </w:tc>
      </w:tr>
      <w:tr>
        <w:tblPrEx>
          <w:tblCellMar>
            <w:top w:w="0" w:type="dxa"/>
            <w:left w:w="108" w:type="dxa"/>
            <w:bottom w:w="0" w:type="dxa"/>
            <w:right w:w="108" w:type="dxa"/>
          </w:tblCellMar>
        </w:tblPrEx>
        <w:trPr>
          <w:trHeight w:val="75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集群中所有虚拟机上运行的应用程序提供简单易用、经济高效的高可用性，最大程度减少因硬件故障造成的服务器宕机和服务中断时间。开启集群HA功能之后，系统会持续监测集群内所有的服务器主机与虚拟机运行状况，当主机故障、虚拟机故障及主机与存储网络异常，都会触发HA。</w:t>
            </w:r>
          </w:p>
        </w:tc>
      </w:tr>
      <w:tr>
        <w:tblPrEx>
          <w:tblCellMar>
            <w:top w:w="0" w:type="dxa"/>
            <w:left w:w="108" w:type="dxa"/>
            <w:bottom w:w="0" w:type="dxa"/>
            <w:right w:w="108" w:type="dxa"/>
          </w:tblCellMar>
        </w:tblPrEx>
        <w:trPr>
          <w:trHeight w:val="735"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提供运行于虚拟机操作系统内的服务进程的高可靠性保障，当服务进程由于自身原因导致无法对外正常提供服务时，可以在最短的时间自动恢复业务。当应用程序恢复失败时，尝试恢复并触发告警通知。</w:t>
            </w:r>
            <w:r>
              <w:rPr>
                <w:rFonts w:hint="eastAsia" w:ascii="宋体" w:hAnsi="宋体" w:eastAsia="宋体" w:cs="宋体"/>
                <w:b/>
                <w:color w:val="auto"/>
                <w:kern w:val="0"/>
                <w:sz w:val="21"/>
                <w:szCs w:val="21"/>
                <w:highlight w:val="none"/>
              </w:rPr>
              <w:t>投标时提供含CNAS标识的第三方测试报告并加盖厂商公章，保留中标后测试的权利。</w:t>
            </w:r>
          </w:p>
        </w:tc>
      </w:tr>
      <w:tr>
        <w:tblPrEx>
          <w:tblCellMar>
            <w:top w:w="0" w:type="dxa"/>
            <w:left w:w="108" w:type="dxa"/>
            <w:bottom w:w="0" w:type="dxa"/>
            <w:right w:w="108" w:type="dxa"/>
          </w:tblCellMar>
        </w:tblPrEx>
        <w:trPr>
          <w:trHeight w:val="735" w:hRule="atLeast"/>
        </w:trPr>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安全管理</w:t>
            </w: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模板镜像一旦故障将会影响其派生虚拟机正常运行，为便于管理员快速定位问题，支持针对模板镜像文件的完整性校验和来源追溯，一键检查镜像是否损坏，查看关联虚拟机及镜像本身的操作记录。</w:t>
            </w:r>
          </w:p>
        </w:tc>
      </w:tr>
      <w:tr>
        <w:tblPrEx>
          <w:tblCellMar>
            <w:top w:w="0" w:type="dxa"/>
            <w:left w:w="108" w:type="dxa"/>
            <w:bottom w:w="0" w:type="dxa"/>
            <w:right w:w="108" w:type="dxa"/>
          </w:tblCellMar>
        </w:tblPrEx>
        <w:trPr>
          <w:trHeight w:val="975"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防止普通用户安装使用违规应用软件，管理员可通过设置进程名、文件或目录来实现云桌面违规软件的控制，从而达到防止用户滥用非法的违规软件的效果。为了便于设置策略，要求支持针对软件进行模糊匹配和全匹配两种方式。为了减低管理的复杂度，该功能要求不依赖于第三方组件实现，并且该功能不额外增加投标成本。</w:t>
            </w:r>
          </w:p>
        </w:tc>
      </w:tr>
      <w:tr>
        <w:tblPrEx>
          <w:tblCellMar>
            <w:top w:w="0" w:type="dxa"/>
            <w:left w:w="108" w:type="dxa"/>
            <w:bottom w:w="0" w:type="dxa"/>
            <w:right w:w="108" w:type="dxa"/>
          </w:tblCellMar>
        </w:tblPrEx>
        <w:trPr>
          <w:trHeight w:val="66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支持U盘、PC本地桌面到虚拟桌面这两种情况的双向拷贝管控，可控制U盘的只读和读写权限，可控制本地桌面和虚拟桌面双向拷贝、单向拷贝。</w:t>
            </w:r>
          </w:p>
        </w:tc>
      </w:tr>
      <w:tr>
        <w:tblPrEx>
          <w:tblCellMar>
            <w:top w:w="0" w:type="dxa"/>
            <w:left w:w="108" w:type="dxa"/>
            <w:bottom w:w="0" w:type="dxa"/>
            <w:right w:w="108" w:type="dxa"/>
          </w:tblCellMar>
        </w:tblPrEx>
        <w:trPr>
          <w:trHeight w:val="99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管理平台集中、批量控制外接设备，包括外设黑白名单的管理，提供常用的外设控制类型，包括但不限于USB存储、扫描仪、打印机。管理员还可以自定义外设禁用和启用策略，支持在平台侧统一查看云桌面外设重定向状态，成功或失败及失败原因等</w:t>
            </w:r>
          </w:p>
        </w:tc>
      </w:tr>
      <w:tr>
        <w:tblPrEx>
          <w:tblCellMar>
            <w:top w:w="0" w:type="dxa"/>
            <w:left w:w="108" w:type="dxa"/>
            <w:bottom w:w="0" w:type="dxa"/>
            <w:right w:w="108" w:type="dxa"/>
          </w:tblCellMar>
        </w:tblPrEx>
        <w:trPr>
          <w:trHeight w:val="99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虚拟防火墙功能，主要基于协议、IP进行过滤。至少支持白名单和黑名单两种过滤规则。与白名单防火墙关联的规则匹配的报文允许通过，反之丢弃；与黑名单防火墙关联的规则匹配的报文会被丢弃，反之允许通过。</w:t>
            </w:r>
          </w:p>
        </w:tc>
      </w:tr>
      <w:tr>
        <w:tblPrEx>
          <w:tblCellMar>
            <w:top w:w="0" w:type="dxa"/>
            <w:left w:w="108" w:type="dxa"/>
            <w:bottom w:w="0" w:type="dxa"/>
            <w:right w:w="108" w:type="dxa"/>
          </w:tblCellMar>
        </w:tblPrEx>
        <w:trPr>
          <w:trHeight w:val="51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为解决IP地址不足及提升网络安全，云桌面管理平台及虚拟机支持IPV4和IPV6两套协议栈。</w:t>
            </w:r>
          </w:p>
        </w:tc>
      </w:tr>
      <w:tr>
        <w:tblPrEx>
          <w:tblCellMar>
            <w:top w:w="0" w:type="dxa"/>
            <w:left w:w="108" w:type="dxa"/>
            <w:bottom w:w="0" w:type="dxa"/>
            <w:right w:w="108" w:type="dxa"/>
          </w:tblCellMar>
        </w:tblPrEx>
        <w:trPr>
          <w:trHeight w:val="66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为保护虚拟机和网络不受非授权应用伤害，同时也防止了不必要的资源消耗，管理员可以设置应用白名单，仅允许授权应用安装及运行。要求提供产品功能截图，并保留中标后测试的权利。</w:t>
            </w:r>
          </w:p>
        </w:tc>
      </w:tr>
      <w:tr>
        <w:tblPrEx>
          <w:tblCellMar>
            <w:top w:w="0" w:type="dxa"/>
            <w:left w:w="108" w:type="dxa"/>
            <w:bottom w:w="0" w:type="dxa"/>
            <w:right w:w="108" w:type="dxa"/>
          </w:tblCellMar>
        </w:tblPrEx>
        <w:trPr>
          <w:trHeight w:val="75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38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支持PC防截屏、防录屏，要求兼容windows、UOS、麒麟等主流系统，在PC利旧场景下，支持PC客户端接入虚拟机后，保护窗口内容，屏蔽本地任意截屏、录屏软件获取窗口画面，防止数据外泄，以保护桌面数据安全。</w:t>
            </w:r>
          </w:p>
        </w:tc>
      </w:tr>
    </w:tbl>
    <w:p>
      <w:pPr>
        <w:pStyle w:val="4"/>
        <w:kinsoku w:val="0"/>
        <w:topLinePunct/>
        <w:autoSpaceDE w:val="0"/>
        <w:autoSpaceDN w:val="0"/>
        <w:snapToGrid w:val="0"/>
        <w:ind w:left="172" w:leftChars="66" w:right="210" w:firstLine="388" w:firstLineChars="162"/>
        <w:contextualSpacing/>
        <w:rPr>
          <w:rFonts w:hint="eastAsia" w:ascii="宋体" w:hAnsi="宋体" w:eastAsia="宋体" w:cs="宋体"/>
          <w:color w:val="auto"/>
          <w:kern w:val="0"/>
          <w:sz w:val="24"/>
          <w:szCs w:val="24"/>
          <w:highlight w:val="none"/>
          <w:lang w:val="zh-CN"/>
        </w:rPr>
      </w:pPr>
    </w:p>
    <w:p>
      <w:pPr>
        <w:pStyle w:val="4"/>
        <w:kinsoku w:val="0"/>
        <w:topLinePunct/>
        <w:autoSpaceDE w:val="0"/>
        <w:autoSpaceDN w:val="0"/>
        <w:snapToGrid w:val="0"/>
        <w:ind w:left="172" w:leftChars="66" w:right="210" w:firstLine="388" w:firstLineChars="162"/>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3.云终端</w:t>
      </w:r>
    </w:p>
    <w:tbl>
      <w:tblPr>
        <w:tblStyle w:val="5"/>
        <w:tblW w:w="86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7" w:type="dxa"/>
            <w:shd w:val="clear" w:color="auto" w:fill="auto"/>
            <w:vAlign w:val="center"/>
          </w:tcPr>
          <w:p>
            <w:pP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指标项</w:t>
            </w:r>
          </w:p>
        </w:tc>
        <w:tc>
          <w:tcPr>
            <w:tcW w:w="7257" w:type="dxa"/>
            <w:shd w:val="clear" w:color="auto" w:fill="auto"/>
            <w:vAlign w:val="center"/>
          </w:tcPr>
          <w:p>
            <w:pP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★处理器</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处理器性能不低于ARM Cortex A55四核，主频≥2.0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存储空间</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配置内存容量≥2 GB，内置存储空间≥8GB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w:t>
            </w:r>
          </w:p>
        </w:tc>
        <w:tc>
          <w:tcPr>
            <w:tcW w:w="7257"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固化USB 2.0接口≥2个，USB 3.0接口≥4个，VGA显示接口≥1个, HDMI显示接口≥1个，千兆网口≥1个，音频输入输出口≥1对。</w:t>
            </w:r>
          </w:p>
        </w:tc>
      </w:tr>
    </w:tbl>
    <w:p>
      <w:pPr>
        <w:pStyle w:val="4"/>
        <w:kinsoku w:val="0"/>
        <w:topLinePunct/>
        <w:autoSpaceDE w:val="0"/>
        <w:autoSpaceDN w:val="0"/>
        <w:snapToGrid w:val="0"/>
        <w:ind w:left="172" w:leftChars="66" w:right="210" w:firstLine="388" w:firstLineChars="162"/>
        <w:contextualSpacing/>
        <w:rPr>
          <w:rFonts w:hint="eastAsia" w:ascii="宋体" w:hAnsi="宋体" w:eastAsia="宋体" w:cs="宋体"/>
          <w:color w:val="auto"/>
          <w:kern w:val="0"/>
          <w:sz w:val="24"/>
          <w:szCs w:val="24"/>
          <w:highlight w:val="none"/>
          <w:lang w:val="zh-CN"/>
        </w:rPr>
      </w:pPr>
    </w:p>
    <w:p>
      <w:pPr>
        <w:pStyle w:val="4"/>
        <w:kinsoku w:val="0"/>
        <w:topLinePunct/>
        <w:autoSpaceDE w:val="0"/>
        <w:autoSpaceDN w:val="0"/>
        <w:snapToGrid w:val="0"/>
        <w:ind w:left="172" w:leftChars="66" w:right="210" w:firstLine="388" w:firstLineChars="162"/>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4.交换机</w:t>
      </w:r>
    </w:p>
    <w:tbl>
      <w:tblPr>
        <w:tblStyle w:val="5"/>
        <w:tblW w:w="86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shd w:val="clear" w:color="auto" w:fill="auto"/>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指标项</w:t>
            </w:r>
          </w:p>
        </w:tc>
        <w:tc>
          <w:tcPr>
            <w:tcW w:w="7261" w:type="dxa"/>
            <w:shd w:val="clear" w:color="auto" w:fill="auto"/>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shd w:val="clear" w:color="auto" w:fill="auto"/>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基础硬件</w:t>
            </w:r>
          </w:p>
        </w:tc>
        <w:tc>
          <w:tcPr>
            <w:tcW w:w="7261" w:type="dxa"/>
            <w:shd w:val="clear" w:color="auto" w:fill="auto"/>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交换容量≥432Gbps，包转发率≥87Mpps，整机提供≥48个千兆以太网电口，提供≥4个千兆以太网光口；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路由要求</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支持IPv4/IPv6静态路由，支持RIP/RIPng，OSPF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CPU防护</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实现CPU保护功能，能限制非法报文对CPU的攻击，保护交换机在各种环境下稳定工作；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Merge w:val="restart"/>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▲虚拟化</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支持多虚一技术(N:1)，可将多台物理设备虚拟化为1台逻辑设备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Merge w:val="continue"/>
            <w:shd w:val="clear" w:color="auto" w:fill="auto"/>
            <w:vAlign w:val="center"/>
          </w:tcPr>
          <w:p>
            <w:pPr>
              <w:spacing w:line="276" w:lineRule="auto"/>
              <w:jc w:val="center"/>
              <w:rPr>
                <w:rFonts w:hint="eastAsia" w:ascii="宋体" w:hAnsi="宋体" w:eastAsia="宋体" w:cs="宋体"/>
                <w:color w:val="auto"/>
                <w:sz w:val="21"/>
                <w:szCs w:val="21"/>
                <w:highlight w:val="none"/>
              </w:rPr>
            </w:pP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支持纵向虚拟化技术，从而实现核心和接入层设备的控制转发平面统一管理，</w:t>
            </w:r>
            <w:r>
              <w:rPr>
                <w:rFonts w:hint="eastAsia" w:ascii="宋体" w:hAnsi="宋体" w:eastAsia="宋体" w:cs="宋体"/>
                <w:b/>
                <w:color w:val="auto"/>
                <w:kern w:val="0"/>
                <w:sz w:val="21"/>
                <w:szCs w:val="21"/>
                <w:highlight w:val="none"/>
              </w:rPr>
              <w:t>投标时</w:t>
            </w:r>
            <w:r>
              <w:rPr>
                <w:rFonts w:hint="eastAsia" w:ascii="宋体" w:hAnsi="宋体" w:eastAsia="宋体" w:cs="宋体"/>
                <w:b/>
                <w:color w:val="auto"/>
                <w:sz w:val="21"/>
                <w:szCs w:val="21"/>
                <w:highlight w:val="none"/>
              </w:rPr>
              <w:t>提供官网截图并加盖设备制造厂商公章证明；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内置智能管理平台，组网拓扑可视及管理、设备列表可视，以图形化操作的方式，实现对网络的统一运维及管理，</w:t>
            </w:r>
            <w:r>
              <w:rPr>
                <w:rFonts w:hint="eastAsia" w:ascii="宋体" w:hAnsi="宋体" w:eastAsia="宋体" w:cs="宋体"/>
                <w:b/>
                <w:color w:val="auto"/>
                <w:kern w:val="0"/>
                <w:sz w:val="21"/>
                <w:szCs w:val="21"/>
                <w:highlight w:val="none"/>
              </w:rPr>
              <w:t>投标时</w:t>
            </w:r>
            <w:r>
              <w:rPr>
                <w:rFonts w:hint="eastAsia" w:ascii="宋体" w:hAnsi="宋体" w:eastAsia="宋体" w:cs="宋体"/>
                <w:b/>
                <w:color w:val="auto"/>
                <w:sz w:val="21"/>
                <w:szCs w:val="21"/>
                <w:highlight w:val="none"/>
              </w:rPr>
              <w:t>提供官网截图并加盖设备制造厂商公章证明；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▲可视化</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支持Telemetry技术，可通过GRPC协议将交换机的实时资源信息与告警信息上送至运维平台，</w:t>
            </w:r>
            <w:r>
              <w:rPr>
                <w:rFonts w:hint="eastAsia" w:ascii="宋体" w:hAnsi="宋体" w:eastAsia="宋体" w:cs="宋体"/>
                <w:b/>
                <w:color w:val="auto"/>
                <w:kern w:val="0"/>
                <w:sz w:val="21"/>
                <w:szCs w:val="21"/>
                <w:highlight w:val="none"/>
              </w:rPr>
              <w:t>投标时</w:t>
            </w:r>
            <w:r>
              <w:rPr>
                <w:rFonts w:hint="eastAsia" w:ascii="宋体" w:hAnsi="宋体" w:eastAsia="宋体" w:cs="宋体"/>
                <w:b/>
                <w:color w:val="auto"/>
                <w:sz w:val="21"/>
                <w:szCs w:val="21"/>
                <w:highlight w:val="none"/>
              </w:rPr>
              <w:t>提供官网截图并加盖设备制造厂商公章证明；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Merge w:val="restart"/>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镜像功能</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支持本地端口镜像和远程端口镜像RSPAN；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Merge w:val="continue"/>
            <w:shd w:val="clear" w:color="auto" w:fill="auto"/>
            <w:vAlign w:val="center"/>
          </w:tcPr>
          <w:p>
            <w:pPr>
              <w:spacing w:line="276" w:lineRule="auto"/>
              <w:jc w:val="center"/>
              <w:rPr>
                <w:rFonts w:hint="eastAsia" w:ascii="宋体" w:hAnsi="宋体" w:eastAsia="宋体" w:cs="宋体"/>
                <w:color w:val="auto"/>
                <w:sz w:val="21"/>
                <w:szCs w:val="21"/>
                <w:highlight w:val="none"/>
              </w:rPr>
            </w:pP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支持流镜像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Merge w:val="continue"/>
            <w:shd w:val="clear" w:color="auto" w:fill="auto"/>
            <w:vAlign w:val="center"/>
          </w:tcPr>
          <w:p>
            <w:pPr>
              <w:spacing w:line="276" w:lineRule="auto"/>
              <w:jc w:val="center"/>
              <w:rPr>
                <w:rFonts w:hint="eastAsia" w:ascii="宋体" w:hAnsi="宋体" w:eastAsia="宋体" w:cs="宋体"/>
                <w:color w:val="auto"/>
                <w:sz w:val="21"/>
                <w:szCs w:val="21"/>
                <w:highlight w:val="none"/>
              </w:rPr>
            </w:pP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支持N：M的端口镜像（M大于1）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环网协议</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支持ERPS功能，能够快速阻断环路；支持STP、RSTP、MSTP，环网故障恢复时间短；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Merge w:val="restart"/>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访问控制策略</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支持基于第二层、第三层和第四层的ACL；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Merge w:val="continue"/>
            <w:shd w:val="clear" w:color="auto" w:fill="auto"/>
            <w:vAlign w:val="center"/>
          </w:tcPr>
          <w:p>
            <w:pPr>
              <w:spacing w:line="276" w:lineRule="auto"/>
              <w:jc w:val="center"/>
              <w:rPr>
                <w:rFonts w:hint="eastAsia" w:ascii="宋体" w:hAnsi="宋体" w:eastAsia="宋体" w:cs="宋体"/>
                <w:color w:val="auto"/>
                <w:sz w:val="21"/>
                <w:szCs w:val="21"/>
                <w:highlight w:val="none"/>
              </w:rPr>
            </w:pP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支持802.1x认证，支持集中式MAC地址认证；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shd w:val="clear" w:color="auto" w:fill="auto"/>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SDN/OPENFLOW</w:t>
            </w:r>
          </w:p>
        </w:tc>
        <w:tc>
          <w:tcPr>
            <w:tcW w:w="7261" w:type="dxa"/>
            <w:shd w:val="clear" w:color="auto" w:fill="auto"/>
            <w:vAlign w:val="center"/>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支持OPENFLOW 1.3标准，支持普通模式和Openflow 模式切换</w:t>
            </w:r>
          </w:p>
        </w:tc>
      </w:tr>
    </w:tbl>
    <w:p>
      <w:pPr>
        <w:pStyle w:val="4"/>
        <w:kinsoku w:val="0"/>
        <w:topLinePunct/>
        <w:autoSpaceDE w:val="0"/>
        <w:autoSpaceDN w:val="0"/>
        <w:snapToGrid w:val="0"/>
        <w:ind w:left="172" w:leftChars="66" w:right="210" w:firstLine="388" w:firstLineChars="162"/>
        <w:contextualSpacing/>
        <w:rPr>
          <w:rFonts w:hint="eastAsia" w:ascii="宋体" w:hAnsi="宋体" w:eastAsia="宋体" w:cs="宋体"/>
          <w:color w:val="auto"/>
          <w:kern w:val="0"/>
          <w:sz w:val="24"/>
          <w:szCs w:val="24"/>
          <w:highlight w:val="none"/>
          <w:lang w:val="zh-CN"/>
        </w:rPr>
      </w:pPr>
    </w:p>
    <w:p>
      <w:pPr>
        <w:pStyle w:val="4"/>
        <w:kinsoku w:val="0"/>
        <w:topLinePunct/>
        <w:autoSpaceDE w:val="0"/>
        <w:autoSpaceDN w:val="0"/>
        <w:snapToGrid w:val="0"/>
        <w:ind w:left="172" w:leftChars="66" w:right="210" w:firstLine="388" w:firstLineChars="162"/>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5.配套设施</w:t>
      </w:r>
    </w:p>
    <w:tbl>
      <w:tblPr>
        <w:tblStyle w:val="5"/>
        <w:tblW w:w="867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7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指标项</w:t>
            </w:r>
          </w:p>
        </w:tc>
        <w:tc>
          <w:tcPr>
            <w:tcW w:w="7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基础指标</w:t>
            </w:r>
          </w:p>
        </w:tc>
        <w:tc>
          <w:tcPr>
            <w:tcW w:w="7261"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15楼原设备间机柜部署服务器需提供独立供电系统，新增独立供电系统来自UPS</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楼机房至16楼弱电间部署光纤及光模块12个。对48个坐席点位网路优化及48个席位显示器输入转换部署。原华为服务器资源调整优化，原华为云桌面地址的重新部署及现场对接。云桌面及配套设备的现场实施服务。</w:t>
            </w:r>
          </w:p>
        </w:tc>
      </w:tr>
    </w:tbl>
    <w:p>
      <w:pPr>
        <w:pStyle w:val="4"/>
        <w:kinsoku w:val="0"/>
        <w:topLinePunct/>
        <w:autoSpaceDE w:val="0"/>
        <w:autoSpaceDN w:val="0"/>
        <w:snapToGrid w:val="0"/>
        <w:ind w:left="172" w:leftChars="66" w:right="210" w:firstLine="388" w:firstLineChars="162"/>
        <w:contextualSpacing/>
        <w:rPr>
          <w:rFonts w:hint="eastAsia" w:ascii="宋体" w:hAnsi="宋体" w:eastAsia="宋体" w:cs="宋体"/>
          <w:color w:val="auto"/>
          <w:kern w:val="0"/>
          <w:sz w:val="24"/>
          <w:szCs w:val="24"/>
          <w:highlight w:val="none"/>
        </w:rPr>
      </w:pPr>
    </w:p>
    <w:p>
      <w:pPr>
        <w:pStyle w:val="4"/>
        <w:kinsoku w:val="0"/>
        <w:topLinePunct/>
        <w:autoSpaceDE w:val="0"/>
        <w:autoSpaceDN w:val="0"/>
        <w:snapToGrid w:val="0"/>
        <w:ind w:left="172" w:leftChars="66" w:right="210" w:firstLine="388" w:firstLineChars="162"/>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备注：以上为设备的主要技术参数要求，</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商务技术文件</w:t>
      </w:r>
      <w:r>
        <w:rPr>
          <w:rFonts w:hint="eastAsia" w:ascii="宋体" w:hAnsi="宋体" w:eastAsia="宋体" w:cs="宋体"/>
          <w:color w:val="auto"/>
          <w:kern w:val="0"/>
          <w:sz w:val="24"/>
          <w:szCs w:val="24"/>
          <w:highlight w:val="none"/>
        </w:rPr>
        <w:t>中提供加盖</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公章的技术参数偏离表；中标</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在中标后三个工作日内提供样机进行功能性、兼容性、稳定性等测试，发现虚假强行应标的将拒绝授予合同。</w:t>
      </w:r>
    </w:p>
    <w:p>
      <w:pPr>
        <w:pStyle w:val="4"/>
        <w:kinsoku w:val="0"/>
        <w:topLinePunct/>
        <w:autoSpaceDE w:val="0"/>
        <w:autoSpaceDN w:val="0"/>
        <w:snapToGrid w:val="0"/>
        <w:ind w:left="172" w:leftChars="66" w:right="210" w:firstLine="388" w:firstLineChars="162"/>
        <w:contextualSpacing/>
        <w:rPr>
          <w:rFonts w:hint="eastAsia" w:ascii="宋体" w:hAnsi="宋体" w:eastAsia="宋体" w:cs="宋体"/>
          <w:color w:val="auto"/>
          <w:kern w:val="0"/>
          <w:sz w:val="24"/>
          <w:szCs w:val="24"/>
          <w:highlight w:val="none"/>
          <w:lang w:val="zh-CN"/>
        </w:rPr>
      </w:pPr>
    </w:p>
    <w:p>
      <w:pPr>
        <w:pStyle w:val="4"/>
        <w:kinsoku w:val="0"/>
        <w:topLinePunct/>
        <w:autoSpaceDE w:val="0"/>
        <w:autoSpaceDN w:val="0"/>
        <w:snapToGrid w:val="0"/>
        <w:ind w:left="0" w:leftChars="0" w:right="210" w:firstLine="0" w:firstLineChars="0"/>
        <w:contextualSpacing/>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六、核心产品</w:t>
      </w:r>
    </w:p>
    <w:p>
      <w:pPr>
        <w:pStyle w:val="4"/>
        <w:kinsoku w:val="0"/>
        <w:topLinePunct/>
        <w:autoSpaceDE w:val="0"/>
        <w:autoSpaceDN w:val="0"/>
        <w:snapToGrid w:val="0"/>
        <w:ind w:left="0" w:leftChars="0" w:right="210" w:firstLine="0" w:firstLineChars="0"/>
        <w:contextualSpacing/>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本项目为</w:t>
      </w:r>
      <w:r>
        <w:rPr>
          <w:rFonts w:hint="eastAsia" w:ascii="宋体" w:hAnsi="宋体" w:eastAsia="宋体" w:cs="宋体"/>
          <w:color w:val="auto"/>
          <w:kern w:val="0"/>
          <w:sz w:val="24"/>
          <w:szCs w:val="24"/>
          <w:highlight w:val="none"/>
          <w:lang w:val="zh-CN"/>
        </w:rPr>
        <w:t>非单一产品采购项目，</w:t>
      </w:r>
      <w:r>
        <w:rPr>
          <w:rFonts w:hint="eastAsia" w:ascii="宋体" w:hAnsi="宋体" w:eastAsia="宋体" w:cs="宋体"/>
          <w:b/>
          <w:bCs/>
          <w:color w:val="auto"/>
          <w:kern w:val="0"/>
          <w:sz w:val="24"/>
          <w:szCs w:val="24"/>
          <w:highlight w:val="none"/>
          <w:lang w:val="en-US" w:eastAsia="zh-CN"/>
        </w:rPr>
        <w:t>核心产品为：服务器。</w:t>
      </w:r>
    </w:p>
    <w:p>
      <w:pPr>
        <w:pStyle w:val="4"/>
        <w:kinsoku w:val="0"/>
        <w:topLinePunct/>
        <w:autoSpaceDE w:val="0"/>
        <w:autoSpaceDN w:val="0"/>
        <w:snapToGrid w:val="0"/>
        <w:ind w:left="0" w:leftChars="0" w:right="210" w:firstLine="480" w:firstLineChars="20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lang w:val="zh-CN"/>
        </w:rPr>
        <w:t>采用综合评分法，提供相同品牌</w:t>
      </w:r>
      <w:r>
        <w:rPr>
          <w:rFonts w:hint="eastAsia" w:ascii="宋体" w:hAnsi="宋体" w:eastAsia="宋体" w:cs="宋体"/>
          <w:color w:val="auto"/>
          <w:kern w:val="0"/>
          <w:sz w:val="24"/>
          <w:szCs w:val="24"/>
          <w:highlight w:val="none"/>
          <w:lang w:val="en-US" w:eastAsia="zh-CN"/>
        </w:rPr>
        <w:t>核心</w:t>
      </w:r>
      <w:r>
        <w:rPr>
          <w:rFonts w:hint="eastAsia" w:ascii="宋体" w:hAnsi="宋体" w:eastAsia="宋体" w:cs="宋体"/>
          <w:color w:val="auto"/>
          <w:kern w:val="0"/>
          <w:sz w:val="24"/>
          <w:szCs w:val="24"/>
          <w:highlight w:val="none"/>
          <w:lang w:val="zh-CN"/>
        </w:rPr>
        <w:t>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hint="eastAsia" w:ascii="宋体" w:hAnsi="宋体" w:eastAsia="宋体" w:cs="宋体"/>
          <w:color w:val="auto"/>
          <w:kern w:val="0"/>
          <w:sz w:val="24"/>
          <w:szCs w:val="24"/>
          <w:highlight w:val="none"/>
          <w:lang w:val="en-US" w:eastAsia="zh-CN"/>
        </w:rPr>
        <w:t>核心产品</w:t>
      </w:r>
      <w:r>
        <w:rPr>
          <w:rFonts w:hint="eastAsia" w:ascii="宋体" w:hAnsi="宋体" w:eastAsia="宋体" w:cs="宋体"/>
          <w:color w:val="auto"/>
          <w:kern w:val="0"/>
          <w:sz w:val="24"/>
          <w:szCs w:val="24"/>
          <w:highlight w:val="none"/>
          <w:lang w:val="zh-CN"/>
        </w:rPr>
        <w:t>同品牌投标人不作为中标候选人。</w:t>
      </w:r>
    </w:p>
    <w:p>
      <w:pPr>
        <w:pStyle w:val="4"/>
        <w:kinsoku w:val="0"/>
        <w:topLinePunct/>
        <w:autoSpaceDE w:val="0"/>
        <w:autoSpaceDN w:val="0"/>
        <w:snapToGrid w:val="0"/>
        <w:ind w:left="0" w:leftChars="0" w:right="210" w:firstLine="0" w:firstLineChars="0"/>
        <w:contextualSpacing/>
        <w:rPr>
          <w:rFonts w:hint="eastAsia" w:ascii="宋体" w:hAnsi="宋体" w:eastAsia="宋体" w:cs="宋体"/>
          <w:b/>
          <w:bCs/>
          <w:color w:val="auto"/>
          <w:kern w:val="0"/>
          <w:sz w:val="24"/>
          <w:szCs w:val="24"/>
          <w:highlight w:val="none"/>
          <w:lang w:val="en-US" w:eastAsia="zh-CN"/>
        </w:rPr>
      </w:pPr>
    </w:p>
    <w:p>
      <w:pPr>
        <w:pStyle w:val="4"/>
        <w:kinsoku w:val="0"/>
        <w:topLinePunct/>
        <w:autoSpaceDE w:val="0"/>
        <w:autoSpaceDN w:val="0"/>
        <w:snapToGrid w:val="0"/>
        <w:ind w:left="0" w:leftChars="0" w:right="210" w:firstLine="0" w:firstLineChars="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付</w:t>
      </w:r>
      <w:r>
        <w:rPr>
          <w:rFonts w:hint="eastAsia" w:ascii="宋体" w:hAnsi="宋体" w:eastAsia="宋体" w:cs="宋体"/>
          <w:b/>
          <w:bCs/>
          <w:color w:val="auto"/>
          <w:kern w:val="0"/>
          <w:sz w:val="24"/>
          <w:szCs w:val="24"/>
          <w:highlight w:val="none"/>
          <w:lang w:val="zh-CN"/>
        </w:rPr>
        <w:t>款方式</w:t>
      </w:r>
      <w:r>
        <w:rPr>
          <w:rFonts w:hint="eastAsia" w:ascii="宋体" w:hAnsi="宋体" w:eastAsia="宋体" w:cs="宋体"/>
          <w:color w:val="auto"/>
          <w:kern w:val="0"/>
          <w:sz w:val="24"/>
          <w:szCs w:val="24"/>
          <w:highlight w:val="none"/>
          <w:lang w:val="zh-CN"/>
        </w:rPr>
        <w:t>：签订合同</w:t>
      </w:r>
      <w:r>
        <w:rPr>
          <w:rFonts w:hint="eastAsia" w:ascii="宋体" w:hAnsi="宋体" w:eastAsia="宋体" w:cs="宋体"/>
          <w:color w:val="auto"/>
          <w:kern w:val="0"/>
          <w:sz w:val="24"/>
          <w:szCs w:val="24"/>
          <w:highlight w:val="none"/>
          <w:lang w:val="en-US" w:eastAsia="zh-CN"/>
        </w:rPr>
        <w:t>后</w:t>
      </w:r>
      <w:r>
        <w:rPr>
          <w:rFonts w:hint="eastAsia" w:ascii="宋体" w:hAnsi="宋体" w:eastAsia="宋体" w:cs="宋体"/>
          <w:color w:val="auto"/>
          <w:kern w:val="0"/>
          <w:sz w:val="24"/>
          <w:szCs w:val="24"/>
          <w:highlight w:val="none"/>
          <w:lang w:val="zh-CN"/>
        </w:rPr>
        <w:t>支付合同总额50%，项目完成并验收通过后支付合同总额50%。</w:t>
      </w:r>
    </w:p>
    <w:p>
      <w:pPr>
        <w:pStyle w:val="4"/>
        <w:kinsoku w:val="0"/>
        <w:topLinePunct/>
        <w:autoSpaceDE w:val="0"/>
        <w:autoSpaceDN w:val="0"/>
        <w:snapToGrid w:val="0"/>
        <w:ind w:left="0" w:leftChars="0" w:right="210" w:firstLine="0" w:firstLineChars="0"/>
        <w:contextualSpacing/>
        <w:rPr>
          <w:rFonts w:hint="eastAsia" w:ascii="宋体" w:hAnsi="宋体" w:eastAsia="宋体" w:cs="宋体"/>
          <w:b/>
          <w:bCs/>
          <w:color w:val="auto"/>
          <w:kern w:val="0"/>
          <w:sz w:val="24"/>
          <w:szCs w:val="24"/>
          <w:highlight w:val="none"/>
          <w:lang w:val="en-US" w:eastAsia="zh-CN"/>
        </w:rPr>
      </w:pPr>
    </w:p>
    <w:p>
      <w:pPr>
        <w:pStyle w:val="4"/>
        <w:kinsoku w:val="0"/>
        <w:topLinePunct/>
        <w:autoSpaceDE w:val="0"/>
        <w:autoSpaceDN w:val="0"/>
        <w:snapToGrid w:val="0"/>
        <w:ind w:left="0" w:leftChars="0" w:right="210" w:firstLine="0" w:firstLineChars="0"/>
        <w:contextualSpacing/>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八、采购需求中必须满足的实质性要求</w:t>
      </w:r>
    </w:p>
    <w:p>
      <w:pPr>
        <w:pStyle w:val="4"/>
        <w:kinsoku w:val="0"/>
        <w:topLinePunct/>
        <w:autoSpaceDE w:val="0"/>
        <w:autoSpaceDN w:val="0"/>
        <w:snapToGrid w:val="0"/>
        <w:ind w:left="0" w:leftChars="0" w:right="210" w:firstLine="480" w:firstLineChars="200"/>
        <w:contextualSpacing/>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1.技术参数要求★项参数为必须满足的实质性要求，不接受负偏离。</w:t>
      </w:r>
    </w:p>
    <w:p>
      <w:pPr>
        <w:pStyle w:val="4"/>
        <w:kinsoku w:val="0"/>
        <w:topLinePunct/>
        <w:autoSpaceDE w:val="0"/>
        <w:autoSpaceDN w:val="0"/>
        <w:snapToGrid w:val="0"/>
        <w:ind w:left="0" w:leftChars="0" w:right="210" w:firstLine="480" w:firstLineChars="200"/>
        <w:contextualSpacing/>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2.中标供应商对云桌面系统及配套设备提供3年免费维保服务。</w:t>
      </w:r>
    </w:p>
    <w:p>
      <w:pPr>
        <w:pStyle w:val="4"/>
        <w:kinsoku w:val="0"/>
        <w:topLinePunct/>
        <w:autoSpaceDE w:val="0"/>
        <w:autoSpaceDN w:val="0"/>
        <w:snapToGrid w:val="0"/>
        <w:ind w:left="0" w:leftChars="0" w:right="210" w:firstLine="480" w:firstLineChars="200"/>
        <w:contextualSpacing/>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3.为考虑方案整体兼容性，供应商所投服务器、云桌面软件以及云终端采用同一品牌。</w:t>
      </w:r>
    </w:p>
    <w:p>
      <w:pPr>
        <w:pStyle w:val="4"/>
        <w:kinsoku w:val="0"/>
        <w:topLinePunct/>
        <w:autoSpaceDE w:val="0"/>
        <w:autoSpaceDN w:val="0"/>
        <w:snapToGrid w:val="0"/>
        <w:ind w:left="0" w:leftChars="0" w:right="210" w:firstLine="480" w:firstLineChars="200"/>
        <w:contextualSpacing/>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4.中标供应商在中标后三个工作日内提供样机进行功能性、兼容性、稳定性等测试，发现虚假强行应标的将拒绝授予合同。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C79D8"/>
    <w:rsid w:val="009476F7"/>
    <w:rsid w:val="01705C99"/>
    <w:rsid w:val="04723F17"/>
    <w:rsid w:val="098E7907"/>
    <w:rsid w:val="0C094B75"/>
    <w:rsid w:val="0D2C79D8"/>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541638"/>
    <w:rsid w:val="467B5DDC"/>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Normal Indent"/>
    <w:basedOn w:val="1"/>
    <w:qFormat/>
    <w:uiPriority w:val="99"/>
    <w:pPr>
      <w:ind w:firstLine="200" w:firstLineChars="200"/>
    </w:pPr>
  </w:style>
  <w:style w:type="character" w:customStyle="1" w:styleId="7">
    <w:name w:val="NormalCharacter"/>
    <w:qFormat/>
    <w:uiPriority w:val="99"/>
  </w:style>
  <w:style w:type="paragraph" w:customStyle="1" w:styleId="8">
    <w:name w:val="页眉1"/>
    <w:basedOn w:val="1"/>
    <w:qFormat/>
    <w:uiPriority w:val="99"/>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2024-09-06T06:58:00Z</dcterms:created>
  <dc:creator>L</dc:creator>
  <cp:lastModifiedBy>L</cp:lastModifiedBy>
  <dcterms:modified xsi:type="dcterms:W3CDTF">2024-09-06T06:58:39Z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A02D210CA34E4860A44FDD4BE1D5CC4C</vt:lpwstr>
  </property>
</Properties>
</file>