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9E" w:rsidRDefault="000F7DBB">
      <w:pPr>
        <w:pStyle w:val="1"/>
        <w:keepNext w:val="0"/>
        <w:keepLines w:val="0"/>
        <w:adjustRightInd w:val="0"/>
        <w:snapToGrid w:val="0"/>
        <w:spacing w:before="0" w:after="0" w:line="360" w:lineRule="auto"/>
        <w:jc w:val="center"/>
        <w:textAlignment w:val="baseline"/>
        <w:rPr>
          <w:rFonts w:ascii="宋体" w:eastAsia="宋体" w:hAnsi="宋体" w:cs="宋体"/>
          <w:w w:val="80"/>
          <w:szCs w:val="44"/>
        </w:rPr>
      </w:pPr>
      <w:r>
        <w:rPr>
          <w:rFonts w:ascii="宋体" w:eastAsia="宋体" w:hAnsi="宋体" w:hint="eastAsia"/>
          <w:w w:val="80"/>
          <w:szCs w:val="44"/>
        </w:rPr>
        <w:t>南通市</w:t>
      </w:r>
      <w:proofErr w:type="gramStart"/>
      <w:r>
        <w:rPr>
          <w:rFonts w:ascii="宋体" w:eastAsia="宋体" w:hAnsi="宋体" w:hint="eastAsia"/>
          <w:w w:val="80"/>
          <w:szCs w:val="44"/>
        </w:rPr>
        <w:t>市域社会</w:t>
      </w:r>
      <w:proofErr w:type="gramEnd"/>
      <w:r>
        <w:rPr>
          <w:rFonts w:ascii="宋体" w:eastAsia="宋体" w:hAnsi="宋体" w:hint="eastAsia"/>
          <w:w w:val="80"/>
          <w:szCs w:val="44"/>
        </w:rPr>
        <w:t>治理现代化指挥中心公共地名地址服务平台数据更新服务</w:t>
      </w:r>
      <w:r>
        <w:rPr>
          <w:rFonts w:ascii="宋体" w:eastAsia="宋体" w:hAnsi="宋体" w:cs="宋体" w:hint="eastAsia"/>
          <w:w w:val="80"/>
          <w:szCs w:val="44"/>
        </w:rPr>
        <w:t>项目需求</w:t>
      </w:r>
      <w:bookmarkStart w:id="0" w:name="二、项目具体需求说明"/>
      <w:bookmarkEnd w:id="0"/>
    </w:p>
    <w:p w:rsidR="00D33E9E" w:rsidRDefault="000F7DBB">
      <w:pPr>
        <w:snapToGrid w:val="0"/>
        <w:spacing w:line="480" w:lineRule="exact"/>
        <w:ind w:firstLineChars="200" w:firstLine="482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一、项目背景：</w:t>
      </w:r>
    </w:p>
    <w:p w:rsidR="00D33E9E" w:rsidRDefault="000F7DBB">
      <w:pPr>
        <w:snapToGrid w:val="0"/>
        <w:spacing w:line="48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近两年，随着部分政府部门办公场所搬迁，培训机构、保险金融、餐饮住宿等营业场所新老更替，</w:t>
      </w:r>
      <w:r>
        <w:rPr>
          <w:rFonts w:hAnsi="宋体" w:cs="宋体"/>
          <w:bCs/>
          <w:sz w:val="24"/>
          <w:szCs w:val="24"/>
        </w:rPr>
        <w:t>公共地名地址数据</w:t>
      </w:r>
      <w:r>
        <w:rPr>
          <w:rFonts w:hAnsi="宋体" w:cs="宋体" w:hint="eastAsia"/>
          <w:bCs/>
          <w:sz w:val="24"/>
          <w:szCs w:val="24"/>
        </w:rPr>
        <w:t>与实体数据出现一定误差，影响了数据的后续共享使用。为确保地名地址数据的准确和鲜活，更好地为跨部门综合应用场景提供数据支撑，特制定本项目采购方案。</w:t>
      </w:r>
    </w:p>
    <w:p w:rsidR="00D33E9E" w:rsidRDefault="000F7DBB">
      <w:pPr>
        <w:snapToGrid w:val="0"/>
        <w:spacing w:line="480" w:lineRule="exact"/>
        <w:ind w:firstLineChars="200" w:firstLine="482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二、项目需求</w:t>
      </w:r>
    </w:p>
    <w:p w:rsidR="00D33E9E" w:rsidRDefault="000F7DBB">
      <w:pPr>
        <w:snapToGrid w:val="0"/>
        <w:spacing w:line="48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供应商利用南通百通“南通地图”纠错功能和南通市公共地名地址服务平台，负责对城区（崇川区、开发区、苏锡通）范围内，包括但不限于政府机关、事业单位、群团组织、科教文化、卫健养老、金融保险、住宿餐饮、商场超市、便民服务点等实体机构基础信息进行采集更新、校准核实、地址匹配、坐标绑定、地址落图，计划数据采集更新工作量不少于</w:t>
      </w:r>
      <w:r>
        <w:rPr>
          <w:rFonts w:hAnsi="宋体" w:cs="宋体" w:hint="eastAsia"/>
          <w:bCs/>
          <w:sz w:val="24"/>
          <w:szCs w:val="24"/>
        </w:rPr>
        <w:t>4</w:t>
      </w:r>
      <w:r>
        <w:rPr>
          <w:rFonts w:hAnsi="宋体" w:cs="宋体" w:hint="eastAsia"/>
          <w:bCs/>
          <w:sz w:val="24"/>
          <w:szCs w:val="24"/>
        </w:rPr>
        <w:t>万条。</w:t>
      </w:r>
    </w:p>
    <w:tbl>
      <w:tblPr>
        <w:tblStyle w:val="a4"/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277"/>
        <w:gridCol w:w="2961"/>
      </w:tblGrid>
      <w:tr w:rsidR="00D33E9E">
        <w:trPr>
          <w:trHeight w:val="616"/>
          <w:jc w:val="center"/>
        </w:trPr>
        <w:tc>
          <w:tcPr>
            <w:tcW w:w="57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612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类型</w:t>
            </w:r>
          </w:p>
        </w:tc>
        <w:tc>
          <w:tcPr>
            <w:tcW w:w="180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更新数量</w:t>
            </w:r>
          </w:p>
        </w:tc>
      </w:tr>
      <w:tr w:rsidR="00D33E9E">
        <w:trPr>
          <w:trHeight w:val="616"/>
          <w:jc w:val="center"/>
        </w:trPr>
        <w:tc>
          <w:tcPr>
            <w:tcW w:w="57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612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政府机关、事业单位、群团组织</w:t>
            </w:r>
          </w:p>
        </w:tc>
        <w:tc>
          <w:tcPr>
            <w:tcW w:w="180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不少于80条</w:t>
            </w:r>
          </w:p>
        </w:tc>
      </w:tr>
      <w:tr w:rsidR="00D33E9E">
        <w:trPr>
          <w:trHeight w:val="616"/>
          <w:jc w:val="center"/>
        </w:trPr>
        <w:tc>
          <w:tcPr>
            <w:tcW w:w="57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612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科教文化</w:t>
            </w:r>
          </w:p>
        </w:tc>
        <w:tc>
          <w:tcPr>
            <w:tcW w:w="180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不少于620条</w:t>
            </w:r>
          </w:p>
        </w:tc>
      </w:tr>
      <w:tr w:rsidR="00D33E9E">
        <w:trPr>
          <w:trHeight w:val="616"/>
          <w:jc w:val="center"/>
        </w:trPr>
        <w:tc>
          <w:tcPr>
            <w:tcW w:w="57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612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卫健养老</w:t>
            </w:r>
          </w:p>
        </w:tc>
        <w:tc>
          <w:tcPr>
            <w:tcW w:w="180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不少于700条</w:t>
            </w:r>
          </w:p>
        </w:tc>
      </w:tr>
      <w:tr w:rsidR="00D33E9E">
        <w:trPr>
          <w:trHeight w:val="616"/>
          <w:jc w:val="center"/>
        </w:trPr>
        <w:tc>
          <w:tcPr>
            <w:tcW w:w="57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612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金融保险</w:t>
            </w:r>
          </w:p>
        </w:tc>
        <w:tc>
          <w:tcPr>
            <w:tcW w:w="180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不少于600条</w:t>
            </w:r>
          </w:p>
        </w:tc>
      </w:tr>
      <w:tr w:rsidR="00D33E9E">
        <w:trPr>
          <w:trHeight w:val="616"/>
          <w:jc w:val="center"/>
        </w:trPr>
        <w:tc>
          <w:tcPr>
            <w:tcW w:w="57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612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住宿餐饮、商场超市</w:t>
            </w:r>
          </w:p>
        </w:tc>
        <w:tc>
          <w:tcPr>
            <w:tcW w:w="180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不少于29000条</w:t>
            </w:r>
          </w:p>
        </w:tc>
      </w:tr>
      <w:tr w:rsidR="00D33E9E">
        <w:trPr>
          <w:trHeight w:val="636"/>
          <w:jc w:val="center"/>
        </w:trPr>
        <w:tc>
          <w:tcPr>
            <w:tcW w:w="57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612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公益设施、便民服务点等</w:t>
            </w:r>
          </w:p>
        </w:tc>
        <w:tc>
          <w:tcPr>
            <w:tcW w:w="1808" w:type="pct"/>
            <w:vAlign w:val="center"/>
          </w:tcPr>
          <w:p w:rsidR="00D33E9E" w:rsidRDefault="000F7DB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不少于9000条</w:t>
            </w:r>
          </w:p>
        </w:tc>
      </w:tr>
    </w:tbl>
    <w:p w:rsidR="00D33E9E" w:rsidRDefault="000F7DBB">
      <w:pPr>
        <w:snapToGrid w:val="0"/>
        <w:spacing w:line="480" w:lineRule="exact"/>
        <w:ind w:firstLineChars="200" w:firstLine="482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三、服务时间</w:t>
      </w:r>
    </w:p>
    <w:p w:rsidR="00D33E9E" w:rsidRDefault="000F7DBB">
      <w:pPr>
        <w:snapToGrid w:val="0"/>
        <w:spacing w:line="48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自合同签订之日起</w:t>
      </w:r>
      <w:r>
        <w:rPr>
          <w:rFonts w:hAnsi="宋体" w:cs="宋体" w:hint="eastAsia"/>
          <w:bCs/>
          <w:sz w:val="24"/>
          <w:szCs w:val="24"/>
        </w:rPr>
        <w:t>6</w:t>
      </w:r>
      <w:r>
        <w:rPr>
          <w:rFonts w:hAnsi="宋体" w:cs="宋体" w:hint="eastAsia"/>
          <w:bCs/>
          <w:sz w:val="24"/>
          <w:szCs w:val="24"/>
        </w:rPr>
        <w:t>个月。</w:t>
      </w:r>
    </w:p>
    <w:p w:rsidR="00D33E9E" w:rsidRDefault="000F7DBB">
      <w:pPr>
        <w:snapToGrid w:val="0"/>
        <w:spacing w:line="480" w:lineRule="exact"/>
        <w:ind w:firstLineChars="200" w:firstLine="482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四、验收要求</w:t>
      </w:r>
    </w:p>
    <w:p w:rsidR="00D33E9E" w:rsidRDefault="000F7DBB">
      <w:pPr>
        <w:snapToGrid w:val="0"/>
        <w:spacing w:line="480" w:lineRule="exact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合同履约期满且符合要求后两周内完成验收。</w:t>
      </w:r>
    </w:p>
    <w:p w:rsidR="00D33E9E" w:rsidRDefault="000F7DBB">
      <w:pPr>
        <w:snapToGrid w:val="0"/>
        <w:spacing w:line="480" w:lineRule="exact"/>
        <w:ind w:firstLineChars="200" w:firstLine="482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五、付款方式：</w:t>
      </w:r>
    </w:p>
    <w:p w:rsidR="00D33E9E" w:rsidRDefault="000F7DBB">
      <w:pPr>
        <w:snapToGrid w:val="0"/>
        <w:spacing w:line="520" w:lineRule="exact"/>
        <w:ind w:firstLineChars="206" w:firstLine="494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lastRenderedPageBreak/>
        <w:t>验收合格后按成交单价据实结算。本项目采用固定单价的报价方式。结算价格＝成交单价×实际更新数据数量。</w:t>
      </w:r>
      <w:r>
        <w:rPr>
          <w:rFonts w:hAnsi="宋体" w:cs="宋体" w:hint="eastAsia"/>
          <w:b/>
          <w:sz w:val="24"/>
          <w:szCs w:val="24"/>
        </w:rPr>
        <w:t>若最终费用超过</w:t>
      </w:r>
      <w:r>
        <w:rPr>
          <w:rFonts w:hAnsi="宋体" w:cs="宋体" w:hint="eastAsia"/>
          <w:b/>
          <w:sz w:val="24"/>
          <w:szCs w:val="24"/>
        </w:rPr>
        <w:t>20</w:t>
      </w:r>
      <w:r>
        <w:rPr>
          <w:rFonts w:hAnsi="宋体" w:cs="宋体" w:hint="eastAsia"/>
          <w:b/>
          <w:sz w:val="24"/>
          <w:szCs w:val="24"/>
        </w:rPr>
        <w:t>万元，按</w:t>
      </w:r>
      <w:r>
        <w:rPr>
          <w:rFonts w:hAnsi="宋体" w:cs="宋体" w:hint="eastAsia"/>
          <w:b/>
          <w:sz w:val="24"/>
          <w:szCs w:val="24"/>
        </w:rPr>
        <w:t>20</w:t>
      </w:r>
      <w:r>
        <w:rPr>
          <w:rFonts w:hAnsi="宋体" w:cs="宋体" w:hint="eastAsia"/>
          <w:b/>
          <w:sz w:val="24"/>
          <w:szCs w:val="24"/>
        </w:rPr>
        <w:t>万元结算。</w:t>
      </w:r>
      <w:r>
        <w:rPr>
          <w:rFonts w:hAnsi="宋体" w:cs="宋体" w:hint="eastAsia"/>
          <w:b/>
          <w:sz w:val="24"/>
          <w:szCs w:val="24"/>
        </w:rPr>
        <w:t xml:space="preserve"> </w:t>
      </w:r>
    </w:p>
    <w:p w:rsidR="00D33E9E" w:rsidRDefault="000F7DBB" w:rsidP="003A0192">
      <w:pPr>
        <w:snapToGrid w:val="0"/>
        <w:spacing w:line="520" w:lineRule="exact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合同签订价格</w:t>
      </w:r>
      <w:r>
        <w:rPr>
          <w:rFonts w:hAnsi="宋体" w:cs="宋体" w:hint="eastAsia"/>
          <w:bCs/>
          <w:sz w:val="24"/>
          <w:szCs w:val="24"/>
        </w:rPr>
        <w:t>=</w:t>
      </w:r>
      <w:r>
        <w:rPr>
          <w:rFonts w:hAnsi="宋体" w:cs="宋体" w:hint="eastAsia"/>
          <w:bCs/>
          <w:sz w:val="24"/>
          <w:szCs w:val="24"/>
        </w:rPr>
        <w:t>最终成交单价×约定更新数据数量（不少于</w:t>
      </w:r>
      <w:r>
        <w:rPr>
          <w:rFonts w:hAnsi="宋体" w:cs="宋体" w:hint="eastAsia"/>
          <w:bCs/>
          <w:sz w:val="24"/>
          <w:szCs w:val="24"/>
        </w:rPr>
        <w:t>4</w:t>
      </w:r>
      <w:r>
        <w:rPr>
          <w:rFonts w:hAnsi="宋体" w:cs="宋体" w:hint="eastAsia"/>
          <w:bCs/>
          <w:sz w:val="24"/>
          <w:szCs w:val="24"/>
        </w:rPr>
        <w:t>万条），</w:t>
      </w:r>
      <w:bookmarkStart w:id="1" w:name="_GoBack"/>
      <w:bookmarkEnd w:id="1"/>
      <w:r>
        <w:rPr>
          <w:rFonts w:hAnsi="宋体" w:cs="宋体" w:hint="eastAsia"/>
          <w:bCs/>
          <w:sz w:val="24"/>
          <w:szCs w:val="24"/>
        </w:rPr>
        <w:t>签订合同后支付</w:t>
      </w:r>
      <w:r>
        <w:rPr>
          <w:rFonts w:hAnsi="宋体" w:cs="宋体" w:hint="eastAsia"/>
          <w:bCs/>
          <w:sz w:val="24"/>
          <w:szCs w:val="24"/>
        </w:rPr>
        <w:t>50%</w:t>
      </w:r>
      <w:r>
        <w:rPr>
          <w:rFonts w:hAnsi="宋体" w:cs="宋体" w:hint="eastAsia"/>
          <w:bCs/>
          <w:sz w:val="24"/>
          <w:szCs w:val="24"/>
        </w:rPr>
        <w:t>合同签订款，合同期满经验收合格后，按照合同约定据实支付剩余合同款项。</w:t>
      </w:r>
    </w:p>
    <w:p w:rsidR="00D33E9E" w:rsidRDefault="00D33E9E">
      <w:pPr>
        <w:snapToGrid w:val="0"/>
        <w:spacing w:line="520" w:lineRule="exact"/>
      </w:pPr>
    </w:p>
    <w:sectPr w:rsidR="00D3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59152A"/>
    <w:multiLevelType w:val="singleLevel"/>
    <w:tmpl w:val="C959152A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05D21"/>
    <w:rsid w:val="000F7DBB"/>
    <w:rsid w:val="003A0192"/>
    <w:rsid w:val="005A5DF3"/>
    <w:rsid w:val="009476F7"/>
    <w:rsid w:val="00972BA3"/>
    <w:rsid w:val="00D33E9E"/>
    <w:rsid w:val="01705C99"/>
    <w:rsid w:val="01A05D21"/>
    <w:rsid w:val="04723F17"/>
    <w:rsid w:val="098E7907"/>
    <w:rsid w:val="0C094B75"/>
    <w:rsid w:val="0FC26D88"/>
    <w:rsid w:val="100828AD"/>
    <w:rsid w:val="147E133E"/>
    <w:rsid w:val="167421DE"/>
    <w:rsid w:val="187675E6"/>
    <w:rsid w:val="1946255C"/>
    <w:rsid w:val="1AE42514"/>
    <w:rsid w:val="1B1E6DD1"/>
    <w:rsid w:val="1B9362C3"/>
    <w:rsid w:val="21740BCE"/>
    <w:rsid w:val="2418219D"/>
    <w:rsid w:val="266D1322"/>
    <w:rsid w:val="27026E1B"/>
    <w:rsid w:val="2A790643"/>
    <w:rsid w:val="32047E1A"/>
    <w:rsid w:val="36BD095F"/>
    <w:rsid w:val="37FF0092"/>
    <w:rsid w:val="383B6F19"/>
    <w:rsid w:val="399E1B8D"/>
    <w:rsid w:val="40150C53"/>
    <w:rsid w:val="417032FE"/>
    <w:rsid w:val="46541638"/>
    <w:rsid w:val="467B5DDC"/>
    <w:rsid w:val="4E3710B4"/>
    <w:rsid w:val="51937B70"/>
    <w:rsid w:val="51956720"/>
    <w:rsid w:val="522C70F0"/>
    <w:rsid w:val="5AB24ABD"/>
    <w:rsid w:val="656600F0"/>
    <w:rsid w:val="6FE611FF"/>
    <w:rsid w:val="737050DC"/>
    <w:rsid w:val="73BB0088"/>
    <w:rsid w:val="73D85F1B"/>
    <w:rsid w:val="73E90B13"/>
    <w:rsid w:val="77E30F59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B3726"/>
  <w15:docId w15:val="{8FC35322-D233-407E-BA34-1A7F723E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ListBullet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Bullet2">
    <w:name w:val="ListBullet2"/>
    <w:basedOn w:val="a"/>
    <w:uiPriority w:val="99"/>
    <w:qFormat/>
    <w:pPr>
      <w:numPr>
        <w:numId w:val="1"/>
      </w:numPr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4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市域治理B404</cp:lastModifiedBy>
  <cp:revision>5</cp:revision>
  <dcterms:created xsi:type="dcterms:W3CDTF">2024-11-04T07:07:00Z</dcterms:created>
  <dcterms:modified xsi:type="dcterms:W3CDTF">2024-11-04T07:44:00Z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6E252A4C34EF4D71A1D0F5F4CC907998</vt:lpwstr>
  </property>
</Properties>
</file>