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w w:val="80"/>
          <w:szCs w:val="44"/>
        </w:rPr>
      </w:pPr>
      <w:bookmarkStart w:id="1" w:name="_GoBack"/>
      <w:r>
        <w:rPr>
          <w:rFonts w:hint="eastAsia" w:ascii="宋体" w:hAnsi="宋体" w:eastAsia="宋体" w:cs="宋体"/>
          <w:w w:val="80"/>
          <w:szCs w:val="44"/>
        </w:rPr>
        <w:t>南通市大数据管理局2021年度市级政务信息化项目绩效评估项目</w:t>
      </w:r>
      <w:r>
        <w:rPr>
          <w:rFonts w:hint="eastAsia" w:ascii="宋体" w:hAnsi="宋体" w:eastAsia="宋体" w:cs="宋体"/>
          <w:w w:val="80"/>
          <w:szCs w:val="44"/>
        </w:rPr>
        <w:t>需求</w:t>
      </w:r>
    </w:p>
    <w:bookmarkEnd w:id="1"/>
    <w:p>
      <w:pPr>
        <w:spacing w:line="360" w:lineRule="auto"/>
        <w:ind w:firstLine="420" w:firstLineChars="200"/>
        <w:rPr>
          <w:rFonts w:hint="eastAsia" w:ascii="宋体" w:hAnsi="宋体" w:cs="宋体"/>
          <w:szCs w:val="21"/>
        </w:rPr>
      </w:pPr>
      <w:r>
        <w:rPr>
          <w:rFonts w:hint="eastAsia" w:ascii="宋体" w:hAnsi="宋体" w:cs="宋体"/>
          <w:szCs w:val="21"/>
        </w:rPr>
        <w:t>请供应商在制作响应文件时仔细研究项目需求说</w:t>
      </w:r>
      <w:r>
        <w:rPr>
          <w:rFonts w:hint="eastAsia" w:ascii="宋体" w:hAnsi="宋体" w:cs="宋体"/>
          <w:spacing w:val="7"/>
          <w:szCs w:val="21"/>
        </w:rPr>
        <w:t>明。</w:t>
      </w:r>
      <w:r>
        <w:rPr>
          <w:rFonts w:hint="eastAsia" w:ascii="宋体" w:hAnsi="宋体" w:cs="宋体"/>
          <w:szCs w:val="21"/>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pPr>
        <w:spacing w:line="360" w:lineRule="auto"/>
        <w:ind w:firstLine="420" w:firstLineChars="200"/>
        <w:rPr>
          <w:rFonts w:hint="eastAsia" w:ascii="宋体" w:hAnsi="宋体" w:cs="宋体"/>
          <w:szCs w:val="21"/>
        </w:rPr>
      </w:pPr>
      <w:bookmarkStart w:id="0" w:name="二、项目具体需求说明"/>
      <w:bookmarkEnd w:id="0"/>
    </w:p>
    <w:p>
      <w:pPr>
        <w:snapToGrid w:val="0"/>
        <w:spacing w:line="360" w:lineRule="auto"/>
        <w:outlineLvl w:val="1"/>
        <w:rPr>
          <w:rFonts w:hint="eastAsia" w:ascii="宋体" w:hAnsi="宋体" w:cs="宋体"/>
          <w:b/>
          <w:bCs/>
          <w:szCs w:val="21"/>
        </w:rPr>
      </w:pPr>
      <w:r>
        <w:rPr>
          <w:rFonts w:hint="eastAsia" w:ascii="宋体" w:hAnsi="宋体" w:cs="宋体"/>
          <w:b/>
          <w:bCs/>
          <w:szCs w:val="21"/>
        </w:rPr>
        <w:t>一、采购标的需实现的功能或者目标, 以及为落实政府采购政策需满足的要求</w:t>
      </w:r>
    </w:p>
    <w:p>
      <w:pPr>
        <w:spacing w:line="360" w:lineRule="auto"/>
        <w:ind w:firstLine="420" w:firstLineChars="200"/>
        <w:rPr>
          <w:rFonts w:hint="eastAsia" w:ascii="宋体" w:hAnsi="宋体" w:cs="宋体"/>
          <w:b/>
          <w:bCs/>
          <w:szCs w:val="21"/>
        </w:rPr>
      </w:pPr>
      <w:r>
        <w:rPr>
          <w:rFonts w:hint="eastAsia" w:ascii="宋体" w:hAnsi="宋体" w:cs="宋体"/>
          <w:b/>
          <w:bCs/>
          <w:szCs w:val="21"/>
        </w:rPr>
        <w:t>1.项目背景</w:t>
      </w:r>
    </w:p>
    <w:p>
      <w:pPr>
        <w:spacing w:line="360" w:lineRule="auto"/>
        <w:ind w:firstLine="420" w:firstLineChars="200"/>
        <w:rPr>
          <w:rFonts w:hint="eastAsia" w:ascii="宋体" w:hAnsi="宋体" w:cs="宋体"/>
          <w:szCs w:val="21"/>
        </w:rPr>
      </w:pPr>
      <w:r>
        <w:rPr>
          <w:rFonts w:hint="eastAsia" w:ascii="宋体" w:hAnsi="宋体" w:cs="宋体"/>
          <w:szCs w:val="21"/>
        </w:rPr>
        <w:t>根据《南通市市本级政府投资项目管理办法》（通政发〔2021〕14号）和《南通市市级政务信息化项目管理办法》文件精神，市大数据管理局需结合项目建设单位自评价情况，委托第三方开展项目后评价，评价结果作为下一年度市级政务信息化项目建设计划制定依据。</w:t>
      </w:r>
    </w:p>
    <w:p>
      <w:pPr>
        <w:spacing w:line="360" w:lineRule="auto"/>
        <w:ind w:firstLine="420" w:firstLineChars="200"/>
        <w:rPr>
          <w:rFonts w:hint="eastAsia" w:ascii="宋体" w:hAnsi="宋体" w:cs="宋体"/>
          <w:b/>
          <w:bCs/>
          <w:szCs w:val="21"/>
        </w:rPr>
      </w:pPr>
      <w:r>
        <w:rPr>
          <w:rFonts w:hint="eastAsia" w:ascii="宋体" w:hAnsi="宋体" w:cs="宋体"/>
          <w:b/>
          <w:bCs/>
          <w:szCs w:val="21"/>
        </w:rPr>
        <w:t>2．评估对象</w:t>
      </w:r>
    </w:p>
    <w:p>
      <w:pPr>
        <w:spacing w:line="360" w:lineRule="auto"/>
        <w:ind w:firstLine="420" w:firstLineChars="200"/>
        <w:rPr>
          <w:rFonts w:hint="eastAsia" w:ascii="宋体" w:hAnsi="宋体" w:cs="宋体"/>
          <w:szCs w:val="21"/>
        </w:rPr>
      </w:pPr>
      <w:r>
        <w:rPr>
          <w:rFonts w:hint="eastAsia" w:ascii="宋体" w:hAnsi="宋体" w:cs="宋体"/>
          <w:szCs w:val="21"/>
        </w:rPr>
        <w:t>对2020年10月1日至2021年9月30日实施完成的市级政务信息化项目（具体清单见附件一）进行绩效再评估。绩效评价内容主要是项目建设情况、资金使用情况、运行维护情况等，并依据项目整体实施情况形成年度绩效评价总结报告；在收集所评价项目资料的同时，现场核查的信息化项目不少于30%。同时对于2021年度市大数据管理局完成的信息化项目（13个集中采购项目、约17个分散采购项目）进行整体核查，形成核查报告。</w:t>
      </w:r>
    </w:p>
    <w:p>
      <w:pPr>
        <w:spacing w:line="360" w:lineRule="auto"/>
        <w:ind w:firstLine="420" w:firstLineChars="200"/>
        <w:rPr>
          <w:rFonts w:hint="eastAsia" w:ascii="宋体" w:hAnsi="宋体" w:cs="宋体"/>
          <w:b/>
          <w:bCs/>
          <w:szCs w:val="21"/>
        </w:rPr>
      </w:pPr>
      <w:r>
        <w:rPr>
          <w:rFonts w:hint="eastAsia" w:ascii="宋体" w:hAnsi="宋体" w:cs="宋体"/>
          <w:b/>
          <w:bCs/>
          <w:szCs w:val="21"/>
        </w:rPr>
        <w:t>3．服务内容</w:t>
      </w:r>
    </w:p>
    <w:p>
      <w:pPr>
        <w:spacing w:line="360" w:lineRule="auto"/>
        <w:ind w:firstLine="420" w:firstLineChars="200"/>
        <w:rPr>
          <w:rFonts w:hint="eastAsia" w:ascii="宋体" w:hAnsi="宋体" w:cs="宋体"/>
          <w:szCs w:val="21"/>
        </w:rPr>
      </w:pPr>
      <w:r>
        <w:rPr>
          <w:rFonts w:hint="eastAsia" w:ascii="宋体" w:hAnsi="宋体" w:cs="宋体"/>
          <w:szCs w:val="21"/>
        </w:rPr>
        <w:t>中标绩效评价项目的服务机构应对评价数据的真实性、合法性负责。主要工作内容包括：</w:t>
      </w:r>
    </w:p>
    <w:p>
      <w:pPr>
        <w:spacing w:line="360" w:lineRule="auto"/>
        <w:ind w:firstLine="420" w:firstLineChars="200"/>
        <w:rPr>
          <w:rFonts w:hint="eastAsia" w:ascii="宋体" w:hAnsi="宋体" w:cs="宋体"/>
          <w:szCs w:val="21"/>
        </w:rPr>
      </w:pPr>
      <w:r>
        <w:rPr>
          <w:rFonts w:hint="eastAsia" w:ascii="宋体" w:hAnsi="宋体" w:cs="宋体"/>
          <w:szCs w:val="21"/>
        </w:rPr>
        <w:t>（1）制定评价方案</w:t>
      </w:r>
    </w:p>
    <w:p>
      <w:pPr>
        <w:spacing w:line="360" w:lineRule="auto"/>
        <w:ind w:firstLine="420" w:firstLineChars="200"/>
        <w:rPr>
          <w:rFonts w:hint="eastAsia" w:ascii="宋体" w:hAnsi="宋体" w:cs="宋体"/>
          <w:szCs w:val="21"/>
        </w:rPr>
      </w:pPr>
      <w:r>
        <w:rPr>
          <w:rFonts w:hint="eastAsia" w:ascii="宋体" w:hAnsi="宋体" w:cs="宋体"/>
          <w:szCs w:val="21"/>
        </w:rPr>
        <w:t>（2）组织方案论证</w:t>
      </w:r>
    </w:p>
    <w:p>
      <w:pPr>
        <w:spacing w:line="360" w:lineRule="auto"/>
        <w:ind w:firstLine="420" w:firstLineChars="200"/>
        <w:rPr>
          <w:rFonts w:hint="eastAsia" w:ascii="宋体" w:hAnsi="宋体" w:cs="宋体"/>
          <w:szCs w:val="21"/>
        </w:rPr>
      </w:pPr>
      <w:r>
        <w:rPr>
          <w:rFonts w:hint="eastAsia" w:ascii="宋体" w:hAnsi="宋体" w:cs="宋体"/>
          <w:szCs w:val="21"/>
        </w:rPr>
        <w:t>（3）开展绩效评价</w:t>
      </w:r>
    </w:p>
    <w:p>
      <w:pPr>
        <w:spacing w:line="360" w:lineRule="auto"/>
        <w:ind w:firstLine="420" w:firstLineChars="200"/>
        <w:rPr>
          <w:rFonts w:hint="eastAsia" w:ascii="宋体" w:hAnsi="宋体" w:cs="宋体"/>
          <w:szCs w:val="21"/>
        </w:rPr>
      </w:pPr>
      <w:r>
        <w:rPr>
          <w:rFonts w:hint="eastAsia" w:ascii="宋体" w:hAnsi="宋体" w:cs="宋体"/>
          <w:szCs w:val="21"/>
        </w:rPr>
        <w:t>（4）依据项目整体实施情况形成年度绩效评价总结报告。</w:t>
      </w:r>
    </w:p>
    <w:p>
      <w:pPr>
        <w:snapToGrid w:val="0"/>
        <w:spacing w:line="360" w:lineRule="auto"/>
        <w:outlineLvl w:val="1"/>
        <w:rPr>
          <w:rFonts w:hint="eastAsia" w:ascii="宋体" w:hAnsi="宋体" w:cs="宋体"/>
          <w:b/>
          <w:bCs/>
          <w:szCs w:val="21"/>
        </w:rPr>
      </w:pPr>
      <w:r>
        <w:rPr>
          <w:rFonts w:hint="eastAsia" w:ascii="宋体" w:hAnsi="宋体" w:cs="宋体"/>
          <w:b/>
          <w:bCs/>
          <w:szCs w:val="21"/>
        </w:rPr>
        <w:t>二、采购标的需执行的国家相关标准、行业标准、地方标准或者其他标准、规范</w:t>
      </w:r>
    </w:p>
    <w:p>
      <w:pPr>
        <w:spacing w:line="360" w:lineRule="auto"/>
        <w:ind w:firstLine="420" w:firstLineChars="200"/>
        <w:rPr>
          <w:rFonts w:hint="eastAsia" w:ascii="宋体" w:hAnsi="宋体" w:cs="宋体"/>
          <w:szCs w:val="21"/>
        </w:rPr>
      </w:pPr>
      <w:r>
        <w:rPr>
          <w:rFonts w:hint="eastAsia" w:ascii="宋体" w:hAnsi="宋体" w:cs="宋体"/>
          <w:szCs w:val="21"/>
        </w:rPr>
        <w:t> 国标</w:t>
      </w:r>
    </w:p>
    <w:p>
      <w:pPr>
        <w:tabs>
          <w:tab w:val="left" w:pos="0"/>
        </w:tabs>
        <w:spacing w:line="360" w:lineRule="auto"/>
        <w:outlineLvl w:val="1"/>
        <w:rPr>
          <w:rFonts w:hint="eastAsia" w:ascii="宋体" w:hAnsi="宋体" w:cs="宋体"/>
          <w:b/>
          <w:bCs/>
          <w:szCs w:val="21"/>
        </w:rPr>
      </w:pPr>
      <w:r>
        <w:rPr>
          <w:rFonts w:hint="eastAsia" w:ascii="宋体" w:hAnsi="宋体" w:cs="宋体"/>
          <w:b/>
          <w:bCs/>
          <w:szCs w:val="21"/>
        </w:rPr>
        <w:t>三、采购标的需满足的质量、安全、技术规格、物理特性等要求</w:t>
      </w:r>
    </w:p>
    <w:p>
      <w:pPr>
        <w:spacing w:line="360" w:lineRule="auto"/>
        <w:ind w:firstLine="420" w:firstLineChars="200"/>
        <w:rPr>
          <w:rFonts w:hint="eastAsia" w:ascii="宋体" w:hAnsi="宋体" w:cs="宋体"/>
          <w:szCs w:val="21"/>
        </w:rPr>
      </w:pPr>
      <w:r>
        <w:rPr>
          <w:rFonts w:hint="eastAsia" w:ascii="宋体" w:hAnsi="宋体" w:cs="宋体"/>
          <w:szCs w:val="21"/>
        </w:rPr>
        <w:t>1.服务时间：自合同签定之日起90个工作日。</w:t>
      </w:r>
    </w:p>
    <w:p>
      <w:pPr>
        <w:spacing w:line="360" w:lineRule="auto"/>
        <w:ind w:firstLine="420" w:firstLineChars="200"/>
        <w:rPr>
          <w:rFonts w:hint="eastAsia" w:ascii="宋体" w:hAnsi="宋体" w:cs="宋体"/>
          <w:szCs w:val="21"/>
        </w:rPr>
      </w:pPr>
      <w:r>
        <w:rPr>
          <w:rFonts w:hint="eastAsia" w:ascii="宋体" w:hAnsi="宋体" w:cs="宋体"/>
          <w:szCs w:val="21"/>
        </w:rPr>
        <w:t>2.服务地点：南通市市政府指定地点</w:t>
      </w:r>
    </w:p>
    <w:p>
      <w:pPr>
        <w:tabs>
          <w:tab w:val="left" w:pos="0"/>
        </w:tabs>
        <w:spacing w:line="360" w:lineRule="auto"/>
        <w:outlineLvl w:val="1"/>
        <w:rPr>
          <w:rFonts w:hint="eastAsia" w:ascii="宋体" w:hAnsi="宋体" w:cs="宋体"/>
          <w:b/>
          <w:bCs/>
          <w:szCs w:val="21"/>
        </w:rPr>
      </w:pPr>
      <w:r>
        <w:rPr>
          <w:rFonts w:hint="eastAsia" w:ascii="宋体" w:hAnsi="宋体" w:cs="宋体"/>
          <w:b/>
          <w:bCs/>
          <w:szCs w:val="21"/>
        </w:rPr>
        <w:t>四、采购标的需满足的服务标准、期限、效率等要求</w:t>
      </w:r>
    </w:p>
    <w:p>
      <w:pPr>
        <w:spacing w:line="360" w:lineRule="auto"/>
        <w:ind w:firstLine="420" w:firstLineChars="200"/>
        <w:rPr>
          <w:rFonts w:hint="eastAsia" w:ascii="宋体" w:hAnsi="宋体" w:cs="宋体"/>
          <w:b/>
          <w:bCs/>
          <w:szCs w:val="21"/>
        </w:rPr>
      </w:pPr>
      <w:r>
        <w:rPr>
          <w:rFonts w:hint="eastAsia" w:ascii="宋体" w:hAnsi="宋体" w:cs="宋体"/>
          <w:b/>
          <w:bCs/>
          <w:szCs w:val="21"/>
        </w:rPr>
        <w:t>1.服务要求</w:t>
      </w:r>
    </w:p>
    <w:p>
      <w:pPr>
        <w:spacing w:line="360" w:lineRule="auto"/>
        <w:ind w:firstLine="420" w:firstLineChars="200"/>
        <w:rPr>
          <w:rFonts w:hint="eastAsia" w:ascii="宋体" w:hAnsi="宋体" w:cs="宋体"/>
          <w:szCs w:val="21"/>
        </w:rPr>
      </w:pPr>
      <w:r>
        <w:rPr>
          <w:rFonts w:hint="eastAsia" w:ascii="宋体" w:hAnsi="宋体" w:cs="宋体"/>
          <w:szCs w:val="21"/>
        </w:rPr>
        <w:t>服务机构应构建严格的内控制度，实施内部质量控制，确保评价工作质量，并根据工作需要，外聘相关专业人员参与评价工作。</w:t>
      </w:r>
    </w:p>
    <w:p>
      <w:pPr>
        <w:spacing w:line="360" w:lineRule="auto"/>
        <w:ind w:firstLine="420" w:firstLineChars="200"/>
        <w:rPr>
          <w:rFonts w:hint="eastAsia" w:ascii="宋体" w:hAnsi="宋体" w:cs="宋体"/>
          <w:szCs w:val="21"/>
        </w:rPr>
      </w:pPr>
      <w:r>
        <w:rPr>
          <w:rFonts w:hint="eastAsia" w:ascii="宋体" w:hAnsi="宋体" w:cs="宋体"/>
          <w:szCs w:val="21"/>
        </w:rPr>
        <w:t>承接绩效再评价项目的服务机构应严守职业道德和廉洁审计纪律，构建严格有效的内部质量控制体系，接受采购单位的指导和监督。</w:t>
      </w:r>
    </w:p>
    <w:p>
      <w:pPr>
        <w:spacing w:line="360" w:lineRule="auto"/>
        <w:ind w:firstLine="420" w:firstLineChars="200"/>
        <w:rPr>
          <w:rFonts w:hint="eastAsia" w:ascii="宋体" w:hAnsi="宋体" w:cs="宋体"/>
          <w:szCs w:val="21"/>
        </w:rPr>
      </w:pPr>
      <w:r>
        <w:rPr>
          <w:rFonts w:hint="eastAsia" w:ascii="宋体" w:hAnsi="宋体" w:cs="宋体"/>
          <w:szCs w:val="21"/>
        </w:rPr>
        <w:t>承接绩效评价项目的服务机构人员遇有应当回避的情况，应当主动提出回避，否则南通市大数据管理局有权取消该项业务约定。</w:t>
      </w:r>
    </w:p>
    <w:p>
      <w:pPr>
        <w:pStyle w:val="6"/>
        <w:spacing w:line="360" w:lineRule="auto"/>
        <w:ind w:left="0" w:leftChars="0" w:firstLine="420" w:firstLineChars="200"/>
        <w:rPr>
          <w:rFonts w:hint="eastAsia" w:ascii="宋体" w:hAnsi="宋体" w:cs="宋体"/>
          <w:b/>
          <w:bCs/>
          <w:szCs w:val="21"/>
        </w:rPr>
      </w:pPr>
      <w:r>
        <w:rPr>
          <w:rFonts w:hint="eastAsia" w:ascii="宋体" w:hAnsi="宋体" w:cs="宋体"/>
          <w:b/>
          <w:bCs/>
          <w:szCs w:val="21"/>
        </w:rPr>
        <w:t>2.人员要求</w:t>
      </w:r>
    </w:p>
    <w:p>
      <w:pPr>
        <w:spacing w:line="360" w:lineRule="auto"/>
        <w:ind w:firstLine="420" w:firstLineChars="200"/>
        <w:rPr>
          <w:rFonts w:hint="eastAsia" w:ascii="宋体" w:hAnsi="宋体" w:cs="宋体"/>
          <w:szCs w:val="21"/>
        </w:rPr>
      </w:pPr>
      <w:r>
        <w:rPr>
          <w:rFonts w:hint="eastAsia" w:ascii="宋体" w:hAnsi="宋体" w:cs="宋体"/>
          <w:szCs w:val="21"/>
        </w:rPr>
        <w:t>服务机构应成立项目组，配备足够的专业技术力量。</w:t>
      </w:r>
    </w:p>
    <w:p>
      <w:pPr>
        <w:spacing w:line="360" w:lineRule="auto"/>
        <w:ind w:firstLine="420" w:firstLineChars="200"/>
        <w:rPr>
          <w:rFonts w:hint="eastAsia" w:ascii="宋体" w:hAnsi="宋体" w:cs="宋体"/>
          <w:szCs w:val="21"/>
        </w:rPr>
      </w:pPr>
      <w:r>
        <w:rPr>
          <w:rFonts w:hint="eastAsia" w:ascii="宋体" w:hAnsi="宋体" w:cs="宋体"/>
          <w:szCs w:val="21"/>
        </w:rPr>
        <w:t>项目组人员一经确定，不得随意变更。符合以下条件的，经委托方同意后可以进行变更：①变更后的人员职务、职称、执业资格数量、参加绩效评价工作经历等各方面均与原人员相当或优于原人员。②绩效评价工作方案论证前。</w:t>
      </w:r>
    </w:p>
    <w:p>
      <w:pPr>
        <w:tabs>
          <w:tab w:val="left" w:pos="0"/>
        </w:tabs>
        <w:spacing w:line="360" w:lineRule="auto"/>
        <w:outlineLvl w:val="1"/>
        <w:rPr>
          <w:rFonts w:hint="eastAsia" w:ascii="宋体" w:hAnsi="宋体" w:cs="宋体"/>
          <w:b/>
          <w:bCs/>
          <w:szCs w:val="21"/>
        </w:rPr>
      </w:pPr>
      <w:r>
        <w:rPr>
          <w:rFonts w:hint="eastAsia" w:ascii="宋体" w:hAnsi="宋体" w:cs="宋体"/>
          <w:b/>
          <w:bCs/>
          <w:szCs w:val="21"/>
        </w:rPr>
        <w:t>五、采购标的验收标准</w:t>
      </w:r>
    </w:p>
    <w:p>
      <w:pPr>
        <w:spacing w:line="360" w:lineRule="auto"/>
        <w:ind w:firstLine="420" w:firstLineChars="200"/>
        <w:rPr>
          <w:rFonts w:hint="eastAsia" w:ascii="宋体" w:hAnsi="宋体" w:cs="宋体"/>
          <w:szCs w:val="21"/>
        </w:rPr>
      </w:pPr>
      <w:r>
        <w:rPr>
          <w:rFonts w:hint="eastAsia" w:ascii="宋体" w:hAnsi="宋体" w:cs="宋体"/>
          <w:szCs w:val="21"/>
        </w:rPr>
        <w:t>采购单位按合同约定积极配合供应商履约，按合同约定及时组织相关专业技术人员，必要时邀请质检等部门共同参与验收，并出具验收报告，验收合格的作为支付款项的依据。</w:t>
      </w:r>
    </w:p>
    <w:p>
      <w:pPr>
        <w:tabs>
          <w:tab w:val="left" w:pos="0"/>
        </w:tabs>
        <w:spacing w:line="360" w:lineRule="auto"/>
        <w:outlineLvl w:val="1"/>
        <w:rPr>
          <w:rFonts w:hint="eastAsia" w:ascii="宋体" w:hAnsi="宋体" w:cs="宋体"/>
          <w:b/>
          <w:bCs/>
          <w:szCs w:val="21"/>
        </w:rPr>
      </w:pPr>
      <w:r>
        <w:rPr>
          <w:rFonts w:hint="eastAsia" w:ascii="宋体" w:hAnsi="宋体" w:cs="宋体"/>
          <w:b/>
          <w:bCs/>
          <w:szCs w:val="21"/>
        </w:rPr>
        <w:t>六、采购标的其他技术、服务等要求</w:t>
      </w:r>
    </w:p>
    <w:p>
      <w:pPr>
        <w:spacing w:line="360" w:lineRule="auto"/>
        <w:ind w:firstLine="420" w:firstLineChars="200"/>
        <w:rPr>
          <w:rFonts w:hint="eastAsia" w:ascii="宋体" w:hAnsi="宋体" w:cs="宋体"/>
          <w:szCs w:val="21"/>
        </w:rPr>
      </w:pPr>
      <w:r>
        <w:rPr>
          <w:rFonts w:hint="eastAsia" w:ascii="宋体" w:hAnsi="宋体" w:cs="宋体"/>
          <w:szCs w:val="21"/>
        </w:rPr>
        <w:t>无</w:t>
      </w:r>
    </w:p>
    <w:p>
      <w:pPr>
        <w:tabs>
          <w:tab w:val="left" w:pos="0"/>
        </w:tabs>
        <w:spacing w:line="360" w:lineRule="auto"/>
        <w:outlineLvl w:val="1"/>
        <w:rPr>
          <w:rFonts w:hint="eastAsia" w:ascii="宋体" w:hAnsi="宋体" w:cs="宋体"/>
          <w:b/>
          <w:bCs/>
          <w:szCs w:val="21"/>
        </w:rPr>
      </w:pPr>
      <w:r>
        <w:rPr>
          <w:rFonts w:hint="eastAsia" w:ascii="宋体" w:hAnsi="宋体" w:cs="宋体"/>
          <w:b/>
          <w:bCs/>
          <w:szCs w:val="21"/>
        </w:rPr>
        <w:t>七、付款条件</w:t>
      </w:r>
    </w:p>
    <w:p>
      <w:pPr>
        <w:spacing w:line="360" w:lineRule="auto"/>
        <w:ind w:firstLine="420" w:firstLineChars="200"/>
        <w:rPr>
          <w:rFonts w:hint="eastAsia" w:ascii="宋体" w:hAnsi="宋体" w:cs="宋体"/>
          <w:szCs w:val="21"/>
        </w:rPr>
        <w:sectPr>
          <w:pgSz w:w="11906" w:h="16838"/>
          <w:pgMar w:top="1440" w:right="1797" w:bottom="1440" w:left="1797" w:header="851" w:footer="992" w:gutter="0"/>
          <w:cols w:space="720" w:num="1"/>
          <w:titlePg/>
          <w:docGrid w:type="linesAndChars" w:linePitch="312" w:charSpace="0"/>
        </w:sectPr>
      </w:pPr>
      <w:r>
        <w:rPr>
          <w:rFonts w:hint="eastAsia" w:ascii="宋体" w:hAnsi="宋体" w:cs="宋体"/>
          <w:szCs w:val="21"/>
        </w:rPr>
        <w:t>签订合同后支付合同费用的50%；出具绩效评估报告，并经专家验收通过后支付余下50%。</w:t>
      </w:r>
    </w:p>
    <w:tbl>
      <w:tblPr>
        <w:tblStyle w:val="8"/>
        <w:tblpPr w:leftFromText="180" w:rightFromText="180" w:vertAnchor="page" w:horzAnchor="page" w:tblpXSpec="center" w:tblpY="250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0"/>
        <w:gridCol w:w="1559"/>
        <w:gridCol w:w="321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13" w:type="dxa"/>
            <w:gridSpan w:val="5"/>
            <w:tcBorders>
              <w:top w:val="nil"/>
              <w:left w:val="nil"/>
              <w:right w:val="nil"/>
            </w:tcBorders>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13" w:type="dxa"/>
            <w:gridSpan w:val="5"/>
            <w:noWrap/>
            <w:vAlign w:val="center"/>
          </w:tcPr>
          <w:p>
            <w:pPr>
              <w:widowControl/>
              <w:spacing w:line="360" w:lineRule="auto"/>
              <w:jc w:val="center"/>
              <w:rPr>
                <w:rFonts w:hint="eastAsia" w:ascii="宋体" w:hAnsi="宋体" w:cs="宋体"/>
                <w:b/>
                <w:color w:val="000000"/>
                <w:kern w:val="0"/>
                <w:szCs w:val="21"/>
              </w:rPr>
            </w:pPr>
            <w:r>
              <w:rPr>
                <w:rFonts w:hint="eastAsia" w:ascii="宋体" w:hAnsi="宋体" w:cs="宋体"/>
                <w:b/>
                <w:color w:val="000000"/>
                <w:kern w:val="0"/>
                <w:szCs w:val="21"/>
              </w:rPr>
              <w:t>2021年绩效评价项目清单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Merge w:val="restart"/>
            <w:noWrap/>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编号</w:t>
            </w:r>
          </w:p>
        </w:tc>
        <w:tc>
          <w:tcPr>
            <w:tcW w:w="900" w:type="dxa"/>
            <w:vMerge w:val="restart"/>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立项年份</w:t>
            </w:r>
          </w:p>
        </w:tc>
        <w:tc>
          <w:tcPr>
            <w:tcW w:w="1559" w:type="dxa"/>
            <w:vMerge w:val="restart"/>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责任单位</w:t>
            </w:r>
          </w:p>
        </w:tc>
        <w:tc>
          <w:tcPr>
            <w:tcW w:w="3211" w:type="dxa"/>
            <w:vMerge w:val="restart"/>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项目名称</w:t>
            </w:r>
          </w:p>
        </w:tc>
        <w:tc>
          <w:tcPr>
            <w:tcW w:w="2268" w:type="dxa"/>
            <w:vMerge w:val="restart"/>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5" w:type="dxa"/>
            <w:vMerge w:val="continue"/>
            <w:noWrap w:val="0"/>
            <w:vAlign w:val="center"/>
          </w:tcPr>
          <w:p>
            <w:pPr>
              <w:widowControl/>
              <w:spacing w:line="360" w:lineRule="auto"/>
              <w:jc w:val="left"/>
              <w:rPr>
                <w:rFonts w:hint="eastAsia" w:ascii="宋体" w:hAnsi="宋体" w:cs="宋体"/>
                <w:b/>
                <w:bCs/>
                <w:color w:val="000000"/>
                <w:kern w:val="0"/>
                <w:szCs w:val="21"/>
              </w:rPr>
            </w:pPr>
          </w:p>
        </w:tc>
        <w:tc>
          <w:tcPr>
            <w:tcW w:w="900" w:type="dxa"/>
            <w:vMerge w:val="continue"/>
            <w:noWrap w:val="0"/>
            <w:vAlign w:val="center"/>
          </w:tcPr>
          <w:p>
            <w:pPr>
              <w:widowControl/>
              <w:spacing w:line="360" w:lineRule="auto"/>
              <w:jc w:val="left"/>
              <w:rPr>
                <w:rFonts w:hint="eastAsia" w:ascii="宋体" w:hAnsi="宋体" w:cs="宋体"/>
                <w:b/>
                <w:bCs/>
                <w:color w:val="000000"/>
                <w:kern w:val="0"/>
                <w:szCs w:val="21"/>
              </w:rPr>
            </w:pPr>
          </w:p>
        </w:tc>
        <w:tc>
          <w:tcPr>
            <w:tcW w:w="1559" w:type="dxa"/>
            <w:vMerge w:val="continue"/>
            <w:noWrap w:val="0"/>
            <w:vAlign w:val="center"/>
          </w:tcPr>
          <w:p>
            <w:pPr>
              <w:widowControl/>
              <w:spacing w:line="360" w:lineRule="auto"/>
              <w:jc w:val="left"/>
              <w:rPr>
                <w:rFonts w:hint="eastAsia" w:ascii="宋体" w:hAnsi="宋体" w:cs="宋体"/>
                <w:b/>
                <w:bCs/>
                <w:color w:val="000000"/>
                <w:kern w:val="0"/>
                <w:szCs w:val="21"/>
              </w:rPr>
            </w:pPr>
          </w:p>
        </w:tc>
        <w:tc>
          <w:tcPr>
            <w:tcW w:w="3211" w:type="dxa"/>
            <w:vMerge w:val="continue"/>
            <w:noWrap w:val="0"/>
            <w:vAlign w:val="center"/>
          </w:tcPr>
          <w:p>
            <w:pPr>
              <w:widowControl/>
              <w:spacing w:line="360" w:lineRule="auto"/>
              <w:jc w:val="left"/>
              <w:rPr>
                <w:rFonts w:hint="eastAsia" w:ascii="宋体" w:hAnsi="宋体" w:cs="宋体"/>
                <w:b/>
                <w:bCs/>
                <w:color w:val="000000"/>
                <w:kern w:val="0"/>
                <w:szCs w:val="21"/>
              </w:rPr>
            </w:pPr>
          </w:p>
        </w:tc>
        <w:tc>
          <w:tcPr>
            <w:tcW w:w="2268" w:type="dxa"/>
            <w:vMerge w:val="continue"/>
            <w:noWrap w:val="0"/>
            <w:vAlign w:val="center"/>
          </w:tcPr>
          <w:p>
            <w:pPr>
              <w:widowControl/>
              <w:spacing w:line="360" w:lineRule="auto"/>
              <w:jc w:val="left"/>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市政协办公室</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“有事好商量”协商议事室应用系统项目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2018</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市纪委</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市纪委三期分保工程</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派驻部门接入和网络安全项目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纪检组网络升级项目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市中级人民法院</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南通市中级人民法院司法安全平台</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信息化其它专项资金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南通法院2019智慧审判系统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信息化其它专项资金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市委组织部</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干部管理信息集成系统二期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市教育局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江苏省南通第一中学智慧校园建设三期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市教育技术中心“慧学南通”提升工程（二期）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南通市第二中学智慧校园项目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江苏省南通田家炳中学智慧校园建设（第一期）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教育技术中心“慧学南通”提升工程（三期）建设项目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启秀中学2020年智慧校园二期建设项目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旅游中等专业学校2020年智慧校园一期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第二初级中学2020年智慧校园建设</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市工业和信息化局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南通市制造业高质量发展监管平台</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免费WIFI热点项目（2016年为民办实事项目）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市公安局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公安电子身份认证硬件设备</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19</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市公安局指挥中心大屏建设</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2018</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市消防支队</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“智慧”社会消防安全管理系统与化工企业安全风险监测预警系统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21</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市财政局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市本级政府投资项目综合业务管理系统及综合业务平台升级项目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市住房和城乡建设局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市城镇污水处理监管平台</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市城市管理局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城市综合管理服务平台</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市卫生健康委员会</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2019年南通卫生健康委全民健康信息化工程</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市应急管理局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应急指挥平台二期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市商务局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南通市出入境边防检查</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27</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市审计局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固定资产投资审计管理系统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2018</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市行政审批局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部省系统网上统一受理平台与政务大厅智能机器人建设</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29</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一体化在线政务服务平台和“互联网+监管”系统建设（一期）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南通市市管领导干部因私出国（境）管理系统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31</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南通市“多规合一”审批监管信息平台（二期）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900" w:type="dxa"/>
            <w:vMerge w:val="restart"/>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vMerge w:val="restart"/>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市“互联网+监管”数据中心建设、工作门户系统；省施工许可数据对接；市政务服务管理平台“四级四同”权力库调整项目</w:t>
            </w:r>
          </w:p>
        </w:tc>
        <w:tc>
          <w:tcPr>
            <w:tcW w:w="2268"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33</w:t>
            </w:r>
          </w:p>
        </w:tc>
        <w:tc>
          <w:tcPr>
            <w:tcW w:w="900" w:type="dxa"/>
            <w:vMerge w:val="continue"/>
            <w:noWrap w:val="0"/>
            <w:vAlign w:val="center"/>
          </w:tcPr>
          <w:p>
            <w:pPr>
              <w:widowControl/>
              <w:spacing w:line="360" w:lineRule="auto"/>
              <w:jc w:val="left"/>
              <w:rPr>
                <w:rFonts w:hint="eastAsia" w:ascii="宋体" w:hAnsi="宋体" w:cs="宋体"/>
                <w:color w:val="000000"/>
                <w:kern w:val="0"/>
                <w:szCs w:val="21"/>
              </w:rPr>
            </w:pP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vMerge w:val="continue"/>
            <w:noWrap w:val="0"/>
            <w:vAlign w:val="center"/>
          </w:tcPr>
          <w:p>
            <w:pPr>
              <w:widowControl/>
              <w:spacing w:line="360" w:lineRule="auto"/>
              <w:jc w:val="left"/>
              <w:rPr>
                <w:rFonts w:hint="eastAsia" w:ascii="宋体" w:hAnsi="宋体" w:cs="宋体"/>
                <w:color w:val="000000"/>
                <w:kern w:val="0"/>
                <w:szCs w:val="21"/>
              </w:rPr>
            </w:pPr>
          </w:p>
        </w:tc>
        <w:tc>
          <w:tcPr>
            <w:tcW w:w="2268" w:type="dxa"/>
            <w:vMerge w:val="continue"/>
            <w:noWrap w:val="0"/>
            <w:vAlign w:val="center"/>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34</w:t>
            </w:r>
          </w:p>
        </w:tc>
        <w:tc>
          <w:tcPr>
            <w:tcW w:w="900" w:type="dxa"/>
            <w:vMerge w:val="continue"/>
            <w:noWrap w:val="0"/>
            <w:vAlign w:val="center"/>
          </w:tcPr>
          <w:p>
            <w:pPr>
              <w:widowControl/>
              <w:spacing w:line="360" w:lineRule="auto"/>
              <w:jc w:val="left"/>
              <w:rPr>
                <w:rFonts w:hint="eastAsia" w:ascii="宋体" w:hAnsi="宋体" w:cs="宋体"/>
                <w:color w:val="000000"/>
                <w:kern w:val="0"/>
                <w:szCs w:val="21"/>
              </w:rPr>
            </w:pP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vMerge w:val="continue"/>
            <w:noWrap w:val="0"/>
            <w:vAlign w:val="center"/>
          </w:tcPr>
          <w:p>
            <w:pPr>
              <w:widowControl/>
              <w:spacing w:line="360" w:lineRule="auto"/>
              <w:jc w:val="left"/>
              <w:rPr>
                <w:rFonts w:hint="eastAsia" w:ascii="宋体" w:hAnsi="宋体" w:cs="宋体"/>
                <w:color w:val="000000"/>
                <w:kern w:val="0"/>
                <w:szCs w:val="21"/>
              </w:rPr>
            </w:pPr>
          </w:p>
        </w:tc>
        <w:tc>
          <w:tcPr>
            <w:tcW w:w="2268" w:type="dxa"/>
            <w:vMerge w:val="continue"/>
            <w:noWrap w:val="0"/>
            <w:vAlign w:val="center"/>
          </w:tcPr>
          <w:p>
            <w:pPr>
              <w:widowControl/>
              <w:spacing w:line="360" w:lineRule="auto"/>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35</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市公共资源交易中心</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南通市公共资源交易平台电子信息化系统完善提升二期项目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36</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市市场监督管理局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“互联网+明厨亮灶”项目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智慧城市其他专项资金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市统计局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重大产业项目管理和智能监测系统维护升级项目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38</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市机关事务管理局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“后勤宝”二期项目——机关事务管理监督全景数据平台</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39</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市大数据管理局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协同办公平台三期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南通市电子政务基础资源平台升级与改造项目（机房空调更换和网站信息外包）</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41</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市政务云容灾备份系统建设一期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42</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市图书馆及综合服务大楼机房UPS电池更换</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43</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经济运行展示系统项目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44</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市蓝信平台建设</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45</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vMerge w:val="continue"/>
            <w:noWrap w:val="0"/>
            <w:vAlign w:val="center"/>
          </w:tcPr>
          <w:p>
            <w:pPr>
              <w:widowControl/>
              <w:spacing w:line="360" w:lineRule="auto"/>
              <w:jc w:val="left"/>
              <w:rPr>
                <w:rFonts w:hint="eastAsia" w:ascii="宋体" w:hAnsi="宋体" w:cs="宋体"/>
                <w:color w:val="000000"/>
                <w:kern w:val="0"/>
                <w:szCs w:val="21"/>
              </w:rPr>
            </w:pP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协同办公平台四期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市域治理指挥中心</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12345政情民意大数据应用和智能+升级项目</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47</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2020</w:t>
            </w:r>
          </w:p>
        </w:tc>
        <w:tc>
          <w:tcPr>
            <w:tcW w:w="1559"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市应急管理局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指挥中心危化品数据采集</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增补信息化专项资金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48</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市气象局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南通市突发事件预警信息发布系统（一期）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49</w:t>
            </w:r>
          </w:p>
        </w:tc>
        <w:tc>
          <w:tcPr>
            <w:tcW w:w="900"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江苏省南通专用通信局</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南通党政分机房建设一期</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智慧城市专项资金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900"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2019</w:t>
            </w:r>
          </w:p>
        </w:tc>
        <w:tc>
          <w:tcPr>
            <w:tcW w:w="1559"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公积金管理中心</w:t>
            </w:r>
          </w:p>
        </w:tc>
        <w:tc>
          <w:tcPr>
            <w:tcW w:w="3211" w:type="dxa"/>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公积金管理信息系统升级</w:t>
            </w:r>
          </w:p>
        </w:tc>
        <w:tc>
          <w:tcPr>
            <w:tcW w:w="2268" w:type="dxa"/>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信息化其他专项资金</w:t>
            </w:r>
          </w:p>
        </w:tc>
      </w:tr>
    </w:tbl>
    <w:p>
      <w:pPr>
        <w:rPr>
          <w:vanish/>
        </w:rPr>
      </w:pPr>
    </w:p>
    <w:tbl>
      <w:tblPr>
        <w:tblStyle w:val="8"/>
        <w:tblpPr w:leftFromText="180" w:rightFromText="180" w:vertAnchor="text" w:horzAnchor="page" w:tblpX="1775" w:tblpY="1292"/>
        <w:tblOverlap w:val="never"/>
        <w:tblW w:w="8583" w:type="dxa"/>
        <w:tblInd w:w="0" w:type="dxa"/>
        <w:tblLayout w:type="autofit"/>
        <w:tblCellMar>
          <w:top w:w="0" w:type="dxa"/>
          <w:left w:w="108" w:type="dxa"/>
          <w:bottom w:w="0" w:type="dxa"/>
          <w:right w:w="108" w:type="dxa"/>
        </w:tblCellMar>
      </w:tblPr>
      <w:tblGrid>
        <w:gridCol w:w="1008"/>
        <w:gridCol w:w="850"/>
        <w:gridCol w:w="5103"/>
        <w:gridCol w:w="1622"/>
      </w:tblGrid>
      <w:tr>
        <w:tblPrEx>
          <w:tblCellMar>
            <w:top w:w="0" w:type="dxa"/>
            <w:left w:w="108" w:type="dxa"/>
            <w:bottom w:w="0" w:type="dxa"/>
            <w:right w:w="108" w:type="dxa"/>
          </w:tblCellMar>
        </w:tblPrEx>
        <w:trPr>
          <w:trHeight w:val="572" w:hRule="atLeast"/>
        </w:trPr>
        <w:tc>
          <w:tcPr>
            <w:tcW w:w="858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szCs w:val="21"/>
              </w:rPr>
              <w:t>附件二：</w:t>
            </w:r>
          </w:p>
        </w:tc>
      </w:tr>
      <w:tr>
        <w:tblPrEx>
          <w:tblCellMar>
            <w:top w:w="0" w:type="dxa"/>
            <w:left w:w="108" w:type="dxa"/>
            <w:bottom w:w="0" w:type="dxa"/>
            <w:right w:w="108" w:type="dxa"/>
          </w:tblCellMar>
        </w:tblPrEx>
        <w:trPr>
          <w:trHeight w:val="697" w:hRule="atLeast"/>
        </w:trPr>
        <w:tc>
          <w:tcPr>
            <w:tcW w:w="858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000000"/>
                <w:kern w:val="0"/>
                <w:szCs w:val="21"/>
              </w:rPr>
            </w:pPr>
            <w:r>
              <w:rPr>
                <w:rFonts w:hint="eastAsia" w:ascii="宋体" w:hAnsi="宋体" w:cs="宋体"/>
                <w:szCs w:val="21"/>
              </w:rPr>
              <w:t>2021年度市大数据管理局实施的信息化项目</w:t>
            </w:r>
          </w:p>
        </w:tc>
      </w:tr>
      <w:tr>
        <w:tblPrEx>
          <w:tblCellMar>
            <w:top w:w="0" w:type="dxa"/>
            <w:left w:w="108" w:type="dxa"/>
            <w:bottom w:w="0" w:type="dxa"/>
            <w:right w:w="108" w:type="dxa"/>
          </w:tblCellMar>
        </w:tblPrEx>
        <w:trPr>
          <w:trHeight w:val="10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项目</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类型</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序号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162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采购预算（万元）</w:t>
            </w:r>
          </w:p>
        </w:tc>
      </w:tr>
      <w:tr>
        <w:tblPrEx>
          <w:tblCellMar>
            <w:top w:w="0" w:type="dxa"/>
            <w:left w:w="108" w:type="dxa"/>
            <w:bottom w:w="0" w:type="dxa"/>
            <w:right w:w="108" w:type="dxa"/>
          </w:tblCellMar>
        </w:tblPrEx>
        <w:trPr>
          <w:trHeight w:val="630" w:hRule="atLeast"/>
        </w:trPr>
        <w:tc>
          <w:tcPr>
            <w:tcW w:w="1008" w:type="dxa"/>
            <w:vMerge w:val="restart"/>
            <w:tcBorders>
              <w:top w:val="nil"/>
              <w:left w:val="single" w:color="auto" w:sz="4" w:space="0"/>
              <w:bottom w:val="single" w:color="FF0000"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集中采购项目</w:t>
            </w: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电子政务外网接入区网络及设备维保项目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65</w:t>
            </w:r>
          </w:p>
        </w:tc>
      </w:tr>
      <w:tr>
        <w:tblPrEx>
          <w:tblCellMar>
            <w:top w:w="0" w:type="dxa"/>
            <w:left w:w="108" w:type="dxa"/>
            <w:bottom w:w="0" w:type="dxa"/>
            <w:right w:w="108" w:type="dxa"/>
          </w:tblCellMar>
        </w:tblPrEx>
        <w:trPr>
          <w:trHeight w:val="315"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三机房ups维保项目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36</w:t>
            </w:r>
          </w:p>
        </w:tc>
      </w:tr>
      <w:tr>
        <w:tblPrEx>
          <w:tblCellMar>
            <w:top w:w="0" w:type="dxa"/>
            <w:left w:w="108" w:type="dxa"/>
            <w:bottom w:w="0" w:type="dxa"/>
            <w:right w:w="108" w:type="dxa"/>
          </w:tblCellMar>
        </w:tblPrEx>
        <w:trPr>
          <w:trHeight w:val="945"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2021年度市级政府投入信息化项目立项报批文件编制单位招采项目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127</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市电子政务外网互联网出口带宽扩容和线路备份项目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67</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市电子政务外网2021年网络优化项目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147</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 xml:space="preserve">市电子政务外网安全中心（2021）运维服务项目 </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305</w:t>
            </w:r>
          </w:p>
        </w:tc>
      </w:tr>
      <w:tr>
        <w:tblPrEx>
          <w:tblCellMar>
            <w:top w:w="0" w:type="dxa"/>
            <w:left w:w="108" w:type="dxa"/>
            <w:bottom w:w="0" w:type="dxa"/>
            <w:right w:w="108" w:type="dxa"/>
          </w:tblCellMar>
        </w:tblPrEx>
        <w:trPr>
          <w:trHeight w:val="315"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协同办公平台建设五期</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120</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集约化机房数位资产管理平台（一期）</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140</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 xml:space="preserve">市电子政务云平台（2021）维保服务项目 </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200</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市人民政府网站群信息服务外包项目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100</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2021年政府网站集约化平台升级项目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58</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南通市政务数据共享交换平台运维项目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50</w:t>
            </w:r>
          </w:p>
        </w:tc>
      </w:tr>
      <w:tr>
        <w:tblPrEx>
          <w:tblCellMar>
            <w:top w:w="0" w:type="dxa"/>
            <w:left w:w="108" w:type="dxa"/>
            <w:bottom w:w="0" w:type="dxa"/>
            <w:right w:w="108" w:type="dxa"/>
          </w:tblCellMar>
        </w:tblPrEx>
        <w:trPr>
          <w:trHeight w:val="501" w:hRule="atLeast"/>
        </w:trPr>
        <w:tc>
          <w:tcPr>
            <w:tcW w:w="1008" w:type="dxa"/>
            <w:vMerge w:val="continue"/>
            <w:tcBorders>
              <w:top w:val="nil"/>
              <w:left w:val="single" w:color="auto" w:sz="4" w:space="0"/>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FF0000"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5103" w:type="dxa"/>
            <w:tcBorders>
              <w:top w:val="nil"/>
              <w:left w:val="nil"/>
              <w:bottom w:val="single" w:color="FF0000"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数据专网业务服务协议（移动）</w:t>
            </w:r>
          </w:p>
        </w:tc>
        <w:tc>
          <w:tcPr>
            <w:tcW w:w="1622" w:type="dxa"/>
            <w:tcBorders>
              <w:top w:val="nil"/>
              <w:left w:val="nil"/>
              <w:bottom w:val="single" w:color="FF0000"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72</w:t>
            </w:r>
          </w:p>
        </w:tc>
      </w:tr>
      <w:tr>
        <w:tblPrEx>
          <w:tblCellMar>
            <w:top w:w="0" w:type="dxa"/>
            <w:left w:w="108" w:type="dxa"/>
            <w:bottom w:w="0" w:type="dxa"/>
            <w:right w:w="108" w:type="dxa"/>
          </w:tblCellMar>
        </w:tblPrEx>
        <w:trPr>
          <w:trHeight w:val="630" w:hRule="atLeast"/>
        </w:trPr>
        <w:tc>
          <w:tcPr>
            <w:tcW w:w="100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分散采购项目</w:t>
            </w: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南通市政务数据共享交换平台二期数据治理和应用运维项目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25</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市级智慧城市项目和政府投入信息化项目2021年度绩效评价</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20</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南通市大数据管理局三机房部分精密空调带配件维保服务项目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电子认证发证中心（LRA系统）运维服务项目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22</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电子政务三机房互联备份光缆敷设项目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r>
      <w:tr>
        <w:tblPrEx>
          <w:tblCellMar>
            <w:top w:w="0" w:type="dxa"/>
            <w:left w:w="108" w:type="dxa"/>
            <w:bottom w:w="0" w:type="dxa"/>
            <w:right w:w="108" w:type="dxa"/>
          </w:tblCellMar>
        </w:tblPrEx>
        <w:trPr>
          <w:trHeight w:val="315"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南通市政府网站智能问答平台</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19.9</w:t>
            </w:r>
          </w:p>
        </w:tc>
      </w:tr>
      <w:tr>
        <w:tblPrEx>
          <w:tblCellMar>
            <w:top w:w="0" w:type="dxa"/>
            <w:left w:w="108" w:type="dxa"/>
            <w:bottom w:w="0" w:type="dxa"/>
            <w:right w:w="108" w:type="dxa"/>
          </w:tblCellMar>
        </w:tblPrEx>
        <w:trPr>
          <w:trHeight w:val="315"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南通市政府网站群检测服务项目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9.6</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南通市政府网站群常态化监测服务项目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南通市公共信用信息平台维保项目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27.8</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南通市大数据管理局oracle数据库运维服务项目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19.5</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南通市电子政务工作平台维保项目（2021年度）</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南通市移动政务协同办公系统维保项目（二期）</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南通市移动政务协同办公系统维保项目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trHeight w:val="315"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三机房维护项目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23.8</w:t>
            </w:r>
          </w:p>
        </w:tc>
      </w:tr>
      <w:tr>
        <w:tblPrEx>
          <w:tblCellMar>
            <w:top w:w="0" w:type="dxa"/>
            <w:left w:w="108" w:type="dxa"/>
            <w:bottom w:w="0" w:type="dxa"/>
            <w:right w:w="108" w:type="dxa"/>
          </w:tblCellMar>
        </w:tblPrEx>
        <w:trPr>
          <w:trHeight w:val="315"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三机房精密空调维保</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29.5</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电子政务外网办公区运维服务项目</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r>
      <w:tr>
        <w:tblPrEx>
          <w:tblCellMar>
            <w:top w:w="0" w:type="dxa"/>
            <w:left w:w="108" w:type="dxa"/>
            <w:bottom w:w="0" w:type="dxa"/>
            <w:right w:w="108" w:type="dxa"/>
          </w:tblCellMar>
        </w:tblPrEx>
        <w:trPr>
          <w:trHeight w:val="630"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5103"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电子政务外网办公区核心设备维护服务项目（2021年度）</w:t>
            </w:r>
          </w:p>
        </w:tc>
        <w:tc>
          <w:tcPr>
            <w:tcW w:w="162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25.5</w:t>
            </w:r>
          </w:p>
        </w:tc>
      </w:tr>
    </w:tbl>
    <w:p>
      <w:pPr>
        <w:pStyle w:val="6"/>
        <w:spacing w:line="360" w:lineRule="auto"/>
        <w:ind w:left="1260"/>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29BA"/>
    <w:rsid w:val="1159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6">
    <w:name w:val="index 4"/>
    <w:basedOn w:val="1"/>
    <w:next w:val="1"/>
    <w:unhideWhenUsed/>
    <w:qFormat/>
    <w:uiPriority w:val="99"/>
    <w:pPr>
      <w:ind w:left="600" w:leftChars="600"/>
    </w:pPr>
  </w:style>
  <w:style w:type="paragraph" w:styleId="7">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2021-10-11T06:06:00Z</dcterms:created>
  <dc:creator>li</dc:creator>
  <cp:lastModifiedBy>li</cp:lastModifiedBy>
  <dcterms:modified xsi:type="dcterms:W3CDTF">2021-10-11T06:07:01Z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C7EA2D4735464F2FA59CA26AE6FBE7F6</vt:lpwstr>
  </property>
</Properties>
</file>