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adjustRightInd w:val="0"/>
        <w:snapToGrid w:val="0"/>
        <w:spacing w:before="0" w:after="0" w:line="800" w:lineRule="exact"/>
        <w:jc w:val="center"/>
        <w:textAlignment w:val="baseline"/>
        <w:rPr>
          <w:rFonts w:hint="eastAsia" w:ascii="宋体" w:hAnsi="宋体" w:eastAsia="宋体" w:cs="宋体"/>
          <w:color w:val="auto"/>
          <w:w w:val="80"/>
          <w:sz w:val="36"/>
          <w:szCs w:val="36"/>
          <w:highlight w:val="none"/>
        </w:rPr>
      </w:pPr>
      <w:bookmarkStart w:id="1" w:name="_GoBack"/>
      <w:r>
        <w:rPr>
          <w:rFonts w:hint="eastAsia" w:ascii="宋体" w:hAnsi="宋体" w:eastAsia="宋体"/>
          <w:color w:val="auto"/>
          <w:w w:val="80"/>
          <w:sz w:val="36"/>
          <w:szCs w:val="36"/>
          <w:highlight w:val="none"/>
        </w:rPr>
        <w:t>南通市电子政务外网办公区核心设备维护服务项目</w:t>
      </w:r>
      <w:r>
        <w:rPr>
          <w:rFonts w:hint="eastAsia" w:ascii="宋体" w:hAnsi="宋体" w:eastAsia="宋体" w:cs="宋体"/>
          <w:color w:val="auto"/>
          <w:w w:val="80"/>
          <w:sz w:val="36"/>
          <w:szCs w:val="36"/>
          <w:highlight w:val="none"/>
        </w:rPr>
        <w:t>需求</w:t>
      </w:r>
    </w:p>
    <w:bookmarkEnd w:id="1"/>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请供应商在制作响应文件时仔细研究项目需求说</w:t>
      </w:r>
      <w:r>
        <w:rPr>
          <w:rFonts w:hint="eastAsia" w:ascii="宋体" w:hAnsi="宋体" w:cs="宋体"/>
          <w:color w:val="auto"/>
          <w:spacing w:val="7"/>
          <w:szCs w:val="21"/>
          <w:highlight w:val="none"/>
        </w:rPr>
        <w:t>明。</w:t>
      </w:r>
      <w:r>
        <w:rPr>
          <w:rFonts w:hint="eastAsia" w:ascii="宋体" w:hAnsi="宋体" w:cs="宋体"/>
          <w:color w:val="auto"/>
          <w:szCs w:val="21"/>
          <w:highlight w:val="none"/>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务部分正负偏离表》和《技术部分正负偏离表》上明示，如不明示的视同完全响应。</w:t>
      </w:r>
    </w:p>
    <w:p>
      <w:pPr>
        <w:spacing w:line="360" w:lineRule="auto"/>
        <w:ind w:firstLine="420" w:firstLineChars="200"/>
        <w:rPr>
          <w:rFonts w:hint="eastAsia" w:ascii="宋体" w:hAnsi="宋体" w:cs="宋体"/>
          <w:color w:val="auto"/>
          <w:szCs w:val="21"/>
          <w:highlight w:val="none"/>
        </w:rPr>
      </w:pPr>
      <w:bookmarkStart w:id="0" w:name="二、项目具体需求说明"/>
      <w:bookmarkEnd w:id="0"/>
    </w:p>
    <w:p>
      <w:pPr>
        <w:rPr>
          <w:vanish/>
          <w:color w:val="auto"/>
          <w:highlight w:val="none"/>
        </w:rPr>
      </w:pPr>
    </w:p>
    <w:p>
      <w:pPr>
        <w:widowControl/>
        <w:spacing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一、采购标的需实现的功能或者目标, 以及为落实政府采购政策需满足的要求。</w:t>
      </w:r>
    </w:p>
    <w:p>
      <w:pPr>
        <w:adjustRightInd w:val="0"/>
        <w:spacing w:line="360" w:lineRule="auto"/>
        <w:ind w:firstLine="640"/>
        <w:rPr>
          <w:rFonts w:hint="eastAsia" w:ascii="宋体" w:hAnsi="宋体" w:cs="宋体"/>
          <w:color w:val="auto"/>
          <w:sz w:val="24"/>
          <w:szCs w:val="24"/>
          <w:highlight w:val="none"/>
        </w:rPr>
      </w:pPr>
      <w:r>
        <w:rPr>
          <w:rFonts w:hint="eastAsia" w:ascii="宋体" w:hAnsi="宋体" w:cs="宋体"/>
          <w:color w:val="auto"/>
          <w:sz w:val="24"/>
          <w:szCs w:val="24"/>
          <w:highlight w:val="none"/>
        </w:rPr>
        <w:t>南通市电子政务外网办公区核心设备已运行多年，为保障办公区平稳运行，现为以下设备采购维护服务。（具体设备型号请与采购方联系，现场勘察）</w:t>
      </w:r>
    </w:p>
    <w:tbl>
      <w:tblPr>
        <w:tblStyle w:val="10"/>
        <w:tblW w:w="7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201"/>
        <w:gridCol w:w="3019"/>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884"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201"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设备地点</w:t>
            </w:r>
          </w:p>
        </w:tc>
        <w:tc>
          <w:tcPr>
            <w:tcW w:w="3019"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设备名称</w:t>
            </w:r>
          </w:p>
        </w:tc>
        <w:tc>
          <w:tcPr>
            <w:tcW w:w="1092"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84"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201"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行政中心</w:t>
            </w:r>
          </w:p>
        </w:tc>
        <w:tc>
          <w:tcPr>
            <w:tcW w:w="3019"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核心路由器</w:t>
            </w:r>
          </w:p>
        </w:tc>
        <w:tc>
          <w:tcPr>
            <w:tcW w:w="1092"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84"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201"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行政中心</w:t>
            </w:r>
          </w:p>
        </w:tc>
        <w:tc>
          <w:tcPr>
            <w:tcW w:w="3019"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核心交换机</w:t>
            </w:r>
          </w:p>
        </w:tc>
        <w:tc>
          <w:tcPr>
            <w:tcW w:w="1092"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84"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201"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政务中心</w:t>
            </w:r>
          </w:p>
        </w:tc>
        <w:tc>
          <w:tcPr>
            <w:tcW w:w="3019"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核心交换机</w:t>
            </w:r>
          </w:p>
        </w:tc>
        <w:tc>
          <w:tcPr>
            <w:tcW w:w="1092"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84"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201"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图书馆</w:t>
            </w:r>
          </w:p>
        </w:tc>
        <w:tc>
          <w:tcPr>
            <w:tcW w:w="3019"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核心交换机</w:t>
            </w:r>
          </w:p>
        </w:tc>
        <w:tc>
          <w:tcPr>
            <w:tcW w:w="1092"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84"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201"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广电机房</w:t>
            </w:r>
          </w:p>
        </w:tc>
        <w:tc>
          <w:tcPr>
            <w:tcW w:w="3019"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核心汇聚交换机</w:t>
            </w:r>
          </w:p>
        </w:tc>
        <w:tc>
          <w:tcPr>
            <w:tcW w:w="1092"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84"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201"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电信机房</w:t>
            </w:r>
          </w:p>
        </w:tc>
        <w:tc>
          <w:tcPr>
            <w:tcW w:w="3019"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核心汇聚交换机</w:t>
            </w:r>
          </w:p>
        </w:tc>
        <w:tc>
          <w:tcPr>
            <w:tcW w:w="1092"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84"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201"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行政中心</w:t>
            </w:r>
          </w:p>
        </w:tc>
        <w:tc>
          <w:tcPr>
            <w:tcW w:w="3019"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楼层汇聚</w:t>
            </w:r>
          </w:p>
        </w:tc>
        <w:tc>
          <w:tcPr>
            <w:tcW w:w="1092"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84"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2201"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行政中心</w:t>
            </w:r>
          </w:p>
        </w:tc>
        <w:tc>
          <w:tcPr>
            <w:tcW w:w="3019"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楼层汇聚</w:t>
            </w:r>
          </w:p>
        </w:tc>
        <w:tc>
          <w:tcPr>
            <w:tcW w:w="1092"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84"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201"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图书馆</w:t>
            </w:r>
          </w:p>
        </w:tc>
        <w:tc>
          <w:tcPr>
            <w:tcW w:w="3019"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楼层汇聚</w:t>
            </w:r>
          </w:p>
        </w:tc>
        <w:tc>
          <w:tcPr>
            <w:tcW w:w="1092"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884"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2201"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政务中心</w:t>
            </w:r>
          </w:p>
        </w:tc>
        <w:tc>
          <w:tcPr>
            <w:tcW w:w="3019"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楼层汇聚</w:t>
            </w:r>
          </w:p>
        </w:tc>
        <w:tc>
          <w:tcPr>
            <w:tcW w:w="1092" w:type="dxa"/>
            <w:noWrap w:val="0"/>
            <w:vAlign w:val="center"/>
          </w:tcPr>
          <w:p>
            <w:pPr>
              <w:spacing w:before="24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r>
    </w:tbl>
    <w:p>
      <w:pPr>
        <w:adjustRightInd w:val="0"/>
        <w:spacing w:line="360" w:lineRule="auto"/>
        <w:ind w:firstLine="640"/>
        <w:rPr>
          <w:rFonts w:hint="eastAsia" w:ascii="宋体" w:hAnsi="宋体" w:cs="宋体"/>
          <w:color w:val="auto"/>
          <w:sz w:val="24"/>
          <w:szCs w:val="24"/>
          <w:highlight w:val="none"/>
        </w:rPr>
      </w:pPr>
    </w:p>
    <w:p>
      <w:pPr>
        <w:numPr>
          <w:ilvl w:val="0"/>
          <w:numId w:val="1"/>
        </w:num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采购标的需满足的质量、安全、技术规格、物理特性等要求</w:t>
      </w:r>
    </w:p>
    <w:p>
      <w:pPr>
        <w:suppressAutoHyphen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具体服务要求如下：</w:t>
      </w:r>
    </w:p>
    <w:p>
      <w:pPr>
        <w:numPr>
          <w:ilvl w:val="0"/>
          <w:numId w:val="2"/>
        </w:numPr>
        <w:suppressAutoHyphen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做好全年维护保养服务工作，保证设备稳定运行。</w:t>
      </w:r>
    </w:p>
    <w:p>
      <w:pPr>
        <w:numPr>
          <w:ilvl w:val="0"/>
          <w:numId w:val="2"/>
        </w:numPr>
        <w:suppressAutoHyphen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提供每月一次巡检，对维保范围内硬件设备的整体运行状态进行评估分析，出具书面的设备巡检报告提交至采购方。</w:t>
      </w:r>
    </w:p>
    <w:p>
      <w:pPr>
        <w:numPr>
          <w:ilvl w:val="0"/>
          <w:numId w:val="2"/>
        </w:numPr>
        <w:suppressAutoHyphen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设备运行巡检须包含：查看维护范围内的硬件设备当前运行状态及各个设备资源使用情况；核查市与区县连接情况、运行状态等；核查核心路由至各个汇聚的连接情况、运行状态等；检查设备安全配置是否正确，包括IP地址配置、网关配置、路由配置、安全规则配置、地址转换规则配置、端口映射规则配置配置、网管SNMP配置、管理账号权限配置是否合理、操作日志检查、配置是否备份等。</w:t>
      </w:r>
    </w:p>
    <w:p>
      <w:pPr>
        <w:numPr>
          <w:ilvl w:val="0"/>
          <w:numId w:val="2"/>
        </w:numPr>
        <w:suppressAutoHyphen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提供维保设备清单内所有设备的版本管理和软件补丁服务。</w:t>
      </w:r>
    </w:p>
    <w:p>
      <w:pPr>
        <w:numPr>
          <w:ilvl w:val="0"/>
          <w:numId w:val="2"/>
        </w:numPr>
        <w:suppressAutoHyphen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根据采购方要求参与实施、配置及维护工作，并提出合理建议优化网络。</w:t>
      </w:r>
    </w:p>
    <w:p>
      <w:pPr>
        <w:pStyle w:val="12"/>
        <w:spacing w:line="36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6、提供维保设备清单中设备原厂质保到期后的硬件质保工作。包括：维保清单中所有设备、配件损坏后由成交供应商负责提供更新，设备所有维修费用由成交供应商提供。</w:t>
      </w:r>
    </w:p>
    <w:p>
      <w:pPr>
        <w:pStyle w:val="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服务质量要求</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（1）保证采购方设备全年7*24小时安全、稳定、高效运行。如有故障成交供应商须在规定的时间内加以解决。</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（2）成交供应商在故障修复后48小时内提供详细的故障修复服务报告，报告应至少包括以下内容：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a、申告故障时间、服务开始时间、故障修复时间、技术工程师。</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b、故障现象及处理过程、故障原因分析及预防性维护建议。</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（3）故障处理速度和质量要求：对于维护范围内的故障，成交供应商应在接到故障通知后30分钟内响应，一般故障需在4小时内解决，重大故障需在48小时内解决。具体故障及服务级别定义如下：</w:t>
      </w:r>
    </w:p>
    <w:tbl>
      <w:tblPr>
        <w:tblStyle w:val="10"/>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2126"/>
        <w:gridCol w:w="2659"/>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589"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故障级别</w:t>
            </w:r>
          </w:p>
        </w:tc>
        <w:tc>
          <w:tcPr>
            <w:tcW w:w="2126"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一级故障</w:t>
            </w:r>
          </w:p>
        </w:tc>
        <w:tc>
          <w:tcPr>
            <w:tcW w:w="2659"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二级故障</w:t>
            </w:r>
          </w:p>
        </w:tc>
        <w:tc>
          <w:tcPr>
            <w:tcW w:w="2328"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三级故障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589"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服务级别</w:t>
            </w:r>
          </w:p>
        </w:tc>
        <w:tc>
          <w:tcPr>
            <w:tcW w:w="2126"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客户的整个系统处于瘫痪状态，不能正常运行</w:t>
            </w:r>
          </w:p>
        </w:tc>
        <w:tc>
          <w:tcPr>
            <w:tcW w:w="2659"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系统性能严重下降或由于网络性能明显下降，使业务运行受到严重影响。</w:t>
            </w:r>
          </w:p>
        </w:tc>
        <w:tc>
          <w:tcPr>
            <w:tcW w:w="2328"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系统部分设备或软件出现故障，但整体系统仍正常工作。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89"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响应时间</w:t>
            </w:r>
          </w:p>
        </w:tc>
        <w:tc>
          <w:tcPr>
            <w:tcW w:w="2126"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立即</w:t>
            </w:r>
          </w:p>
        </w:tc>
        <w:tc>
          <w:tcPr>
            <w:tcW w:w="2659"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0.5小时</w:t>
            </w:r>
          </w:p>
        </w:tc>
        <w:tc>
          <w:tcPr>
            <w:tcW w:w="2328"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0.5小时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89"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抵达现场时间</w:t>
            </w:r>
          </w:p>
        </w:tc>
        <w:tc>
          <w:tcPr>
            <w:tcW w:w="2126"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0.5小时</w:t>
            </w:r>
          </w:p>
        </w:tc>
        <w:tc>
          <w:tcPr>
            <w:tcW w:w="2659"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0.5小时</w:t>
            </w:r>
          </w:p>
        </w:tc>
        <w:tc>
          <w:tcPr>
            <w:tcW w:w="2328"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0.5小时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89"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故障排除时间</w:t>
            </w:r>
          </w:p>
        </w:tc>
        <w:tc>
          <w:tcPr>
            <w:tcW w:w="2126"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远程确认2小时或抵达现场后2小时</w:t>
            </w:r>
          </w:p>
        </w:tc>
        <w:tc>
          <w:tcPr>
            <w:tcW w:w="2659"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远程确认2小时或抵达现场后3小时</w:t>
            </w:r>
          </w:p>
        </w:tc>
        <w:tc>
          <w:tcPr>
            <w:tcW w:w="2328"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远程确认2小时或抵达现场后4小时</w:t>
            </w:r>
          </w:p>
        </w:tc>
      </w:tr>
    </w:tbl>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本地备件及响应要求：为保证维护服务质量，成交供应商需提供核心交换机和汇聚交换机（品牌型号与行政中心设备相同）各一台作为冷备设备，以在应急情况下可快速调配于下表响应时间内送达用户指定机房。具体如下：</w:t>
      </w:r>
    </w:p>
    <w:tbl>
      <w:tblPr>
        <w:tblStyle w:val="10"/>
        <w:tblW w:w="8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2245"/>
        <w:gridCol w:w="1543"/>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60"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设备</w:t>
            </w:r>
          </w:p>
        </w:tc>
        <w:tc>
          <w:tcPr>
            <w:tcW w:w="2245"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备件内容</w:t>
            </w:r>
          </w:p>
        </w:tc>
        <w:tc>
          <w:tcPr>
            <w:tcW w:w="1543"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响应时间</w:t>
            </w:r>
          </w:p>
        </w:tc>
        <w:tc>
          <w:tcPr>
            <w:tcW w:w="2526"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60" w:type="dxa"/>
            <w:vMerge w:val="restart"/>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核心交换机</w:t>
            </w:r>
          </w:p>
        </w:tc>
        <w:tc>
          <w:tcPr>
            <w:tcW w:w="2245"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代用冷备主机</w:t>
            </w:r>
          </w:p>
        </w:tc>
        <w:tc>
          <w:tcPr>
            <w:tcW w:w="1543"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2小时</w:t>
            </w:r>
          </w:p>
        </w:tc>
        <w:tc>
          <w:tcPr>
            <w:tcW w:w="2526" w:type="dxa"/>
            <w:vMerge w:val="restart"/>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厂家备件48小时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60" w:type="dxa"/>
            <w:vMerge w:val="continue"/>
            <w:noWrap w:val="0"/>
            <w:vAlign w:val="center"/>
          </w:tcPr>
          <w:p>
            <w:pPr>
              <w:spacing w:line="360" w:lineRule="auto"/>
              <w:jc w:val="center"/>
              <w:rPr>
                <w:rFonts w:hint="eastAsia" w:ascii="宋体" w:hAnsi="宋体" w:cs="宋体"/>
                <w:color w:val="auto"/>
                <w:sz w:val="24"/>
                <w:szCs w:val="24"/>
                <w:highlight w:val="none"/>
              </w:rPr>
            </w:pPr>
          </w:p>
        </w:tc>
        <w:tc>
          <w:tcPr>
            <w:tcW w:w="2245"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常用模块</w:t>
            </w:r>
          </w:p>
        </w:tc>
        <w:tc>
          <w:tcPr>
            <w:tcW w:w="1543"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0.5小时</w:t>
            </w:r>
          </w:p>
        </w:tc>
        <w:tc>
          <w:tcPr>
            <w:tcW w:w="2526" w:type="dxa"/>
            <w:vMerge w:val="continue"/>
            <w:noWrap w:val="0"/>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60" w:type="dxa"/>
            <w:vMerge w:val="restart"/>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汇聚交换机</w:t>
            </w:r>
          </w:p>
        </w:tc>
        <w:tc>
          <w:tcPr>
            <w:tcW w:w="2245"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代用冷备主机</w:t>
            </w:r>
          </w:p>
        </w:tc>
        <w:tc>
          <w:tcPr>
            <w:tcW w:w="1543"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2小时</w:t>
            </w:r>
          </w:p>
        </w:tc>
        <w:tc>
          <w:tcPr>
            <w:tcW w:w="2526" w:type="dxa"/>
            <w:vMerge w:val="restart"/>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厂家备件48小时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60" w:type="dxa"/>
            <w:vMerge w:val="continue"/>
            <w:noWrap w:val="0"/>
            <w:vAlign w:val="center"/>
          </w:tcPr>
          <w:p>
            <w:pPr>
              <w:spacing w:line="360" w:lineRule="auto"/>
              <w:jc w:val="center"/>
              <w:rPr>
                <w:rFonts w:hint="eastAsia" w:ascii="宋体" w:hAnsi="宋体" w:cs="宋体"/>
                <w:color w:val="auto"/>
                <w:sz w:val="24"/>
                <w:szCs w:val="24"/>
                <w:highlight w:val="none"/>
              </w:rPr>
            </w:pPr>
          </w:p>
        </w:tc>
        <w:tc>
          <w:tcPr>
            <w:tcW w:w="2245"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常用模块</w:t>
            </w:r>
          </w:p>
        </w:tc>
        <w:tc>
          <w:tcPr>
            <w:tcW w:w="1543" w:type="dxa"/>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0.5小时</w:t>
            </w:r>
          </w:p>
        </w:tc>
        <w:tc>
          <w:tcPr>
            <w:tcW w:w="2526" w:type="dxa"/>
            <w:vMerge w:val="continue"/>
            <w:noWrap w:val="0"/>
            <w:vAlign w:val="center"/>
          </w:tcPr>
          <w:p>
            <w:pPr>
              <w:spacing w:line="360" w:lineRule="auto"/>
              <w:jc w:val="center"/>
              <w:rPr>
                <w:rFonts w:hint="eastAsia" w:ascii="宋体" w:hAnsi="宋体" w:cs="宋体"/>
                <w:color w:val="auto"/>
                <w:sz w:val="24"/>
                <w:szCs w:val="24"/>
                <w:highlight w:val="none"/>
              </w:rPr>
            </w:pPr>
          </w:p>
        </w:tc>
      </w:tr>
    </w:tbl>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8"/>
        <w:numPr>
          <w:ilvl w:val="0"/>
          <w:numId w:val="1"/>
        </w:numPr>
        <w:snapToGrid w:val="0"/>
        <w:spacing w:before="120" w:after="120" w:line="360" w:lineRule="auto"/>
        <w:rPr>
          <w:rFonts w:hint="eastAsia" w:hAnsi="宋体" w:cs="宋体"/>
          <w:b/>
          <w:bCs/>
          <w:color w:val="auto"/>
          <w:kern w:val="2"/>
          <w:sz w:val="24"/>
          <w:szCs w:val="24"/>
          <w:highlight w:val="none"/>
        </w:rPr>
      </w:pPr>
      <w:r>
        <w:rPr>
          <w:rFonts w:hint="eastAsia" w:hAnsi="宋体" w:cs="宋体"/>
          <w:b/>
          <w:bCs/>
          <w:color w:val="auto"/>
          <w:kern w:val="2"/>
          <w:sz w:val="24"/>
          <w:szCs w:val="24"/>
          <w:highlight w:val="none"/>
        </w:rPr>
        <w:t>采购标的数量、采购项目交付或者实施的时间和地点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（1）合同签订：自中标（成交）公告结束后7个工作日内按时签约。签约时，成交供应商需提供核心路由器和交换机的原厂三年质保授权函（加盖原厂公章）原件，如不提供或超时提供，视为放弃成交资格。</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（2）交货期（服务时间）：本次服务期限为自合同签订之日起三年。</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（3）交货（服务）地点：南通市大数据管理局指定地点。</w:t>
      </w:r>
    </w:p>
    <w:p>
      <w:pPr>
        <w:pStyle w:val="8"/>
        <w:numPr>
          <w:ilvl w:val="0"/>
          <w:numId w:val="1"/>
        </w:numPr>
        <w:snapToGrid w:val="0"/>
        <w:spacing w:before="120" w:after="120" w:line="360" w:lineRule="auto"/>
        <w:rPr>
          <w:rFonts w:hint="eastAsia" w:hAnsi="宋体" w:cs="宋体"/>
          <w:b/>
          <w:bCs/>
          <w:color w:val="auto"/>
          <w:kern w:val="2"/>
          <w:sz w:val="24"/>
          <w:szCs w:val="24"/>
          <w:highlight w:val="none"/>
        </w:rPr>
      </w:pPr>
      <w:r>
        <w:rPr>
          <w:rFonts w:hint="eastAsia" w:hAnsi="宋体" w:cs="宋体"/>
          <w:b/>
          <w:bCs/>
          <w:color w:val="auto"/>
          <w:kern w:val="2"/>
          <w:sz w:val="24"/>
          <w:szCs w:val="24"/>
          <w:highlight w:val="none"/>
        </w:rPr>
        <w:t>付款条件</w:t>
      </w:r>
    </w:p>
    <w:p>
      <w:pPr>
        <w:spacing w:line="360" w:lineRule="auto"/>
        <w:ind w:firstLine="480" w:firstLineChars="200"/>
      </w:pPr>
      <w:r>
        <w:rPr>
          <w:rFonts w:hint="eastAsia" w:ascii="宋体" w:hAnsi="宋体" w:cs="宋体"/>
          <w:color w:val="auto"/>
          <w:sz w:val="24"/>
          <w:szCs w:val="24"/>
          <w:highlight w:val="none"/>
        </w:rPr>
        <w:t>合同签订后支付首年合同金额的50%，服务满6个月后在7个工作日内支付首年合同金额的50%；第二年和第三年参照首年支付。付款前成交供应商需提供对应金额发票。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20F9D"/>
    <w:multiLevelType w:val="singleLevel"/>
    <w:tmpl w:val="9DE20F9D"/>
    <w:lvl w:ilvl="0" w:tentative="0">
      <w:start w:val="1"/>
      <w:numFmt w:val="decimal"/>
      <w:suff w:val="nothing"/>
      <w:lvlText w:val="%1、"/>
      <w:lvlJc w:val="left"/>
    </w:lvl>
  </w:abstractNum>
  <w:abstractNum w:abstractNumId="1">
    <w:nsid w:val="67C01E05"/>
    <w:multiLevelType w:val="multilevel"/>
    <w:tmpl w:val="67C01E05"/>
    <w:lvl w:ilvl="0" w:tentative="0">
      <w:start w:val="2"/>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01021"/>
    <w:rsid w:val="27501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6">
    <w:name w:val="heading 2"/>
    <w:basedOn w:val="1"/>
    <w:next w:val="7"/>
    <w:qFormat/>
    <w:uiPriority w:val="9"/>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7">
    <w:name w:val="Normal Indent"/>
    <w:basedOn w:val="1"/>
    <w:qFormat/>
    <w:uiPriority w:val="0"/>
    <w:pPr>
      <w:adjustRightInd w:val="0"/>
      <w:ind w:firstLine="420"/>
      <w:jc w:val="left"/>
      <w:textAlignment w:val="baseline"/>
    </w:pPr>
    <w:rPr>
      <w:rFonts w:eastAsia="楷体_GB2312"/>
      <w:kern w:val="0"/>
      <w:sz w:val="24"/>
    </w:rPr>
  </w:style>
  <w:style w:type="paragraph" w:styleId="8">
    <w:name w:val="Plain Text"/>
    <w:basedOn w:val="1"/>
    <w:qFormat/>
    <w:uiPriority w:val="99"/>
    <w:rPr>
      <w:rFonts w:ascii="宋体" w:hAnsi="Courier New"/>
      <w:kern w:val="0"/>
      <w:sz w:val="20"/>
      <w:szCs w:val="21"/>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2">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2021-12-30T06:47:00Z</dcterms:created>
  <dc:creator>li</dc:creator>
  <cp:lastModifiedBy>li</cp:lastModifiedBy>
  <dcterms:modified xsi:type="dcterms:W3CDTF">2021-12-30T06:48:04Z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ACF3B9F695E646DD9BE47E9AFC026A8B</vt:lpwstr>
  </property>
</Properties>
</file>