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360" w:lineRule="auto"/>
        <w:jc w:val="center"/>
        <w:textAlignment w:val="baseline"/>
        <w:rPr>
          <w:rFonts w:hint="eastAsia" w:ascii="宋体" w:hAnsi="宋体" w:eastAsia="宋体"/>
          <w:color w:val="auto"/>
          <w:w w:val="80"/>
          <w:sz w:val="32"/>
          <w:szCs w:val="32"/>
          <w:shd w:val="clear" w:color="auto" w:fill="auto"/>
        </w:rPr>
      </w:pPr>
      <w:bookmarkStart w:id="1" w:name="_GoBack"/>
      <w:r>
        <w:rPr>
          <w:rFonts w:hint="eastAsia" w:ascii="宋体" w:hAnsi="宋体" w:eastAsia="宋体"/>
          <w:color w:val="auto"/>
          <w:w w:val="80"/>
          <w:sz w:val="32"/>
          <w:szCs w:val="32"/>
          <w:shd w:val="clear" w:color="auto" w:fill="auto"/>
        </w:rPr>
        <w:t>南通市市域社会治理现代化指挥中心网络安全等保测评服务项目需求</w:t>
      </w:r>
      <w:bookmarkStart w:id="0" w:name="二、项目具体需求说明"/>
      <w:bookmarkEnd w:id="0"/>
    </w:p>
    <w:bookmarkEnd w:id="1"/>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为确保三级等保备案系统每年开展一次等级测评，及时发现和处置存在的安全风险隐患，保障各系统安全平稳运行。</w:t>
      </w:r>
    </w:p>
    <w:p>
      <w:pPr>
        <w:pStyle w:val="5"/>
        <w:spacing w:line="360" w:lineRule="auto"/>
        <w:rPr>
          <w:rFonts w:ascii="宋体" w:hAnsi="宋体" w:eastAsia="宋体" w:cs="宋体"/>
          <w:b w:val="0"/>
          <w:color w:val="auto"/>
          <w:sz w:val="21"/>
          <w:szCs w:val="21"/>
          <w:shd w:val="clear" w:color="auto" w:fill="auto"/>
        </w:rPr>
      </w:pPr>
      <w:r>
        <w:rPr>
          <w:rFonts w:hint="eastAsia" w:ascii="宋体" w:hAnsi="宋体" w:eastAsia="宋体" w:cs="宋体"/>
          <w:color w:val="auto"/>
          <w:sz w:val="21"/>
          <w:szCs w:val="21"/>
          <w:shd w:val="clear" w:color="auto" w:fill="auto"/>
        </w:rPr>
        <w:t>一、本项目测评范围</w:t>
      </w:r>
    </w:p>
    <w:tbl>
      <w:tblPr>
        <w:tblStyle w:val="7"/>
        <w:tblW w:w="4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598"/>
        <w:gridCol w:w="956"/>
        <w:gridCol w:w="123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568" w:type="pct"/>
            <w:vAlign w:val="center"/>
          </w:tcPr>
          <w:p>
            <w:pPr>
              <w:autoSpaceDE w:val="0"/>
              <w:autoSpaceDN w:val="0"/>
              <w:adjustRightInd w:val="0"/>
              <w:snapToGrid w:val="0"/>
              <w:jc w:val="center"/>
              <w:rPr>
                <w:rFonts w:eastAsia="仿宋"/>
                <w:b/>
                <w:color w:val="auto"/>
                <w:kern w:val="0"/>
                <w:sz w:val="24"/>
                <w:szCs w:val="32"/>
                <w:shd w:val="clear" w:color="auto" w:fill="auto"/>
              </w:rPr>
            </w:pPr>
            <w:r>
              <w:rPr>
                <w:rFonts w:eastAsia="仿宋"/>
                <w:b/>
                <w:color w:val="auto"/>
                <w:kern w:val="0"/>
                <w:sz w:val="24"/>
                <w:szCs w:val="32"/>
                <w:shd w:val="clear" w:color="auto" w:fill="auto"/>
              </w:rPr>
              <w:t>序号</w:t>
            </w:r>
          </w:p>
        </w:tc>
        <w:tc>
          <w:tcPr>
            <w:tcW w:w="1816" w:type="pct"/>
            <w:vAlign w:val="center"/>
          </w:tcPr>
          <w:p>
            <w:pPr>
              <w:autoSpaceDE w:val="0"/>
              <w:autoSpaceDN w:val="0"/>
              <w:adjustRightInd w:val="0"/>
              <w:snapToGrid w:val="0"/>
              <w:jc w:val="center"/>
              <w:rPr>
                <w:rFonts w:eastAsia="仿宋"/>
                <w:b/>
                <w:color w:val="auto"/>
                <w:kern w:val="0"/>
                <w:sz w:val="24"/>
                <w:szCs w:val="32"/>
                <w:shd w:val="clear" w:color="auto" w:fill="auto"/>
              </w:rPr>
            </w:pPr>
            <w:r>
              <w:rPr>
                <w:rFonts w:eastAsia="仿宋"/>
                <w:b/>
                <w:color w:val="auto"/>
                <w:kern w:val="0"/>
                <w:sz w:val="24"/>
                <w:szCs w:val="32"/>
                <w:shd w:val="clear" w:color="auto" w:fill="auto"/>
              </w:rPr>
              <w:t>测评系统</w:t>
            </w:r>
          </w:p>
        </w:tc>
        <w:tc>
          <w:tcPr>
            <w:tcW w:w="668" w:type="pct"/>
            <w:vAlign w:val="center"/>
          </w:tcPr>
          <w:p>
            <w:pPr>
              <w:autoSpaceDE w:val="0"/>
              <w:autoSpaceDN w:val="0"/>
              <w:adjustRightInd w:val="0"/>
              <w:snapToGrid w:val="0"/>
              <w:jc w:val="center"/>
              <w:rPr>
                <w:rFonts w:eastAsia="仿宋"/>
                <w:b/>
                <w:color w:val="auto"/>
                <w:kern w:val="0"/>
                <w:sz w:val="24"/>
                <w:szCs w:val="32"/>
                <w:shd w:val="clear" w:color="auto" w:fill="auto"/>
              </w:rPr>
            </w:pPr>
            <w:r>
              <w:rPr>
                <w:rFonts w:eastAsia="仿宋"/>
                <w:b/>
                <w:color w:val="auto"/>
                <w:kern w:val="0"/>
                <w:sz w:val="24"/>
                <w:szCs w:val="32"/>
                <w:shd w:val="clear" w:color="auto" w:fill="auto"/>
              </w:rPr>
              <w:t>数量</w:t>
            </w:r>
          </w:p>
        </w:tc>
        <w:tc>
          <w:tcPr>
            <w:tcW w:w="860" w:type="pct"/>
            <w:vAlign w:val="center"/>
          </w:tcPr>
          <w:p>
            <w:pPr>
              <w:autoSpaceDE w:val="0"/>
              <w:autoSpaceDN w:val="0"/>
              <w:adjustRightInd w:val="0"/>
              <w:snapToGrid w:val="0"/>
              <w:jc w:val="center"/>
              <w:rPr>
                <w:rFonts w:eastAsia="仿宋"/>
                <w:b/>
                <w:color w:val="auto"/>
                <w:kern w:val="0"/>
                <w:sz w:val="24"/>
                <w:szCs w:val="32"/>
                <w:shd w:val="clear" w:color="auto" w:fill="auto"/>
              </w:rPr>
            </w:pPr>
            <w:r>
              <w:rPr>
                <w:rFonts w:hint="eastAsia" w:eastAsia="仿宋"/>
                <w:b/>
                <w:color w:val="auto"/>
                <w:kern w:val="0"/>
                <w:sz w:val="24"/>
                <w:szCs w:val="32"/>
                <w:shd w:val="clear" w:color="auto" w:fill="auto"/>
              </w:rPr>
              <w:t>测评等级</w:t>
            </w:r>
          </w:p>
        </w:tc>
        <w:tc>
          <w:tcPr>
            <w:tcW w:w="1085" w:type="pct"/>
            <w:vAlign w:val="center"/>
          </w:tcPr>
          <w:p>
            <w:pPr>
              <w:autoSpaceDE w:val="0"/>
              <w:autoSpaceDN w:val="0"/>
              <w:adjustRightInd w:val="0"/>
              <w:snapToGrid w:val="0"/>
              <w:jc w:val="center"/>
              <w:rPr>
                <w:rFonts w:eastAsia="仿宋"/>
                <w:b/>
                <w:color w:val="auto"/>
                <w:kern w:val="0"/>
                <w:sz w:val="24"/>
                <w:szCs w:val="32"/>
                <w:shd w:val="clear" w:color="auto" w:fill="auto"/>
              </w:rPr>
            </w:pPr>
            <w:r>
              <w:rPr>
                <w:rFonts w:hint="eastAsia" w:eastAsia="仿宋"/>
                <w:b/>
                <w:color w:val="auto"/>
                <w:kern w:val="0"/>
                <w:sz w:val="24"/>
                <w:szCs w:val="32"/>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1</w:t>
            </w:r>
          </w:p>
        </w:tc>
        <w:tc>
          <w:tcPr>
            <w:tcW w:w="1816"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基础支撑平台</w:t>
            </w:r>
          </w:p>
        </w:tc>
        <w:tc>
          <w:tcPr>
            <w:tcW w:w="6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1</w:t>
            </w:r>
          </w:p>
        </w:tc>
        <w:tc>
          <w:tcPr>
            <w:tcW w:w="860"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三级</w:t>
            </w:r>
          </w:p>
        </w:tc>
        <w:tc>
          <w:tcPr>
            <w:tcW w:w="1085" w:type="pct"/>
            <w:vMerge w:val="restart"/>
            <w:vAlign w:val="center"/>
          </w:tcPr>
          <w:p>
            <w:pPr>
              <w:autoSpaceDE w:val="0"/>
              <w:autoSpaceDN w:val="0"/>
              <w:adjustRightInd w:val="0"/>
              <w:snapToGrid w:val="0"/>
              <w:jc w:val="center"/>
              <w:rPr>
                <w:rFonts w:eastAsia="仿宋"/>
                <w:color w:val="auto"/>
                <w:kern w:val="0"/>
                <w:sz w:val="24"/>
                <w:szCs w:val="32"/>
                <w:shd w:val="clear" w:color="auto" w:fill="auto"/>
              </w:rPr>
            </w:pPr>
            <w:r>
              <w:rPr>
                <w:rFonts w:hint="eastAsia" w:eastAsia="仿宋"/>
                <w:color w:val="auto"/>
                <w:kern w:val="0"/>
                <w:sz w:val="24"/>
                <w:szCs w:val="32"/>
                <w:shd w:val="clear" w:color="auto" w:fill="auto"/>
              </w:rPr>
              <w:t>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hint="eastAsia" w:eastAsia="仿宋"/>
                <w:color w:val="auto"/>
                <w:kern w:val="0"/>
                <w:sz w:val="24"/>
                <w:szCs w:val="32"/>
                <w:shd w:val="clear" w:color="auto" w:fill="auto"/>
              </w:rPr>
              <w:t>2</w:t>
            </w:r>
          </w:p>
        </w:tc>
        <w:tc>
          <w:tcPr>
            <w:tcW w:w="1816"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可视化平台</w:t>
            </w:r>
          </w:p>
        </w:tc>
        <w:tc>
          <w:tcPr>
            <w:tcW w:w="6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1</w:t>
            </w:r>
          </w:p>
        </w:tc>
        <w:tc>
          <w:tcPr>
            <w:tcW w:w="860"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三级</w:t>
            </w:r>
          </w:p>
        </w:tc>
        <w:tc>
          <w:tcPr>
            <w:tcW w:w="1085" w:type="pct"/>
            <w:vMerge w:val="continue"/>
            <w:vAlign w:val="center"/>
          </w:tcPr>
          <w:p>
            <w:pPr>
              <w:autoSpaceDE w:val="0"/>
              <w:autoSpaceDN w:val="0"/>
              <w:adjustRightInd w:val="0"/>
              <w:snapToGrid w:val="0"/>
              <w:jc w:val="center"/>
              <w:rPr>
                <w:rFonts w:eastAsia="仿宋"/>
                <w:color w:val="auto"/>
                <w:kern w:val="0"/>
                <w:sz w:val="24"/>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3</w:t>
            </w:r>
          </w:p>
        </w:tc>
        <w:tc>
          <w:tcPr>
            <w:tcW w:w="1816"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危化品全流程监管平台</w:t>
            </w:r>
          </w:p>
        </w:tc>
        <w:tc>
          <w:tcPr>
            <w:tcW w:w="6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1</w:t>
            </w:r>
          </w:p>
        </w:tc>
        <w:tc>
          <w:tcPr>
            <w:tcW w:w="860"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三级</w:t>
            </w:r>
          </w:p>
        </w:tc>
        <w:tc>
          <w:tcPr>
            <w:tcW w:w="1085" w:type="pct"/>
            <w:vMerge w:val="restart"/>
            <w:vAlign w:val="center"/>
          </w:tcPr>
          <w:p>
            <w:pPr>
              <w:autoSpaceDE w:val="0"/>
              <w:autoSpaceDN w:val="0"/>
              <w:adjustRightInd w:val="0"/>
              <w:snapToGrid w:val="0"/>
              <w:jc w:val="center"/>
              <w:rPr>
                <w:rFonts w:eastAsia="仿宋"/>
                <w:color w:val="auto"/>
                <w:kern w:val="0"/>
                <w:sz w:val="24"/>
                <w:szCs w:val="32"/>
                <w:shd w:val="clear" w:color="auto" w:fill="auto"/>
              </w:rPr>
            </w:pPr>
            <w:r>
              <w:rPr>
                <w:rFonts w:hint="eastAsia" w:eastAsia="仿宋"/>
                <w:color w:val="auto"/>
                <w:kern w:val="0"/>
                <w:sz w:val="24"/>
                <w:szCs w:val="32"/>
                <w:shd w:val="clear" w:color="auto" w:fill="auto"/>
              </w:rPr>
              <w:t>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5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4</w:t>
            </w:r>
          </w:p>
        </w:tc>
        <w:tc>
          <w:tcPr>
            <w:tcW w:w="1816"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群租房智慧管控平台</w:t>
            </w:r>
          </w:p>
        </w:tc>
        <w:tc>
          <w:tcPr>
            <w:tcW w:w="6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1</w:t>
            </w:r>
          </w:p>
        </w:tc>
        <w:tc>
          <w:tcPr>
            <w:tcW w:w="860"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三级</w:t>
            </w:r>
          </w:p>
        </w:tc>
        <w:tc>
          <w:tcPr>
            <w:tcW w:w="1085" w:type="pct"/>
            <w:vMerge w:val="continue"/>
          </w:tcPr>
          <w:p>
            <w:pPr>
              <w:autoSpaceDE w:val="0"/>
              <w:autoSpaceDN w:val="0"/>
              <w:adjustRightInd w:val="0"/>
              <w:snapToGrid w:val="0"/>
              <w:jc w:val="center"/>
              <w:rPr>
                <w:rFonts w:eastAsia="仿宋"/>
                <w:color w:val="auto"/>
                <w:kern w:val="0"/>
                <w:sz w:val="24"/>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5</w:t>
            </w:r>
          </w:p>
        </w:tc>
        <w:tc>
          <w:tcPr>
            <w:tcW w:w="1816"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社会治理现代化平台</w:t>
            </w:r>
          </w:p>
        </w:tc>
        <w:tc>
          <w:tcPr>
            <w:tcW w:w="668"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1</w:t>
            </w:r>
          </w:p>
        </w:tc>
        <w:tc>
          <w:tcPr>
            <w:tcW w:w="860" w:type="pct"/>
            <w:vAlign w:val="center"/>
          </w:tcPr>
          <w:p>
            <w:pPr>
              <w:autoSpaceDE w:val="0"/>
              <w:autoSpaceDN w:val="0"/>
              <w:adjustRightInd w:val="0"/>
              <w:snapToGrid w:val="0"/>
              <w:jc w:val="center"/>
              <w:rPr>
                <w:rFonts w:eastAsia="仿宋"/>
                <w:color w:val="auto"/>
                <w:kern w:val="0"/>
                <w:sz w:val="24"/>
                <w:szCs w:val="32"/>
                <w:shd w:val="clear" w:color="auto" w:fill="auto"/>
              </w:rPr>
            </w:pPr>
            <w:r>
              <w:rPr>
                <w:rFonts w:eastAsia="仿宋"/>
                <w:color w:val="auto"/>
                <w:kern w:val="0"/>
                <w:sz w:val="24"/>
                <w:szCs w:val="32"/>
                <w:shd w:val="clear" w:color="auto" w:fill="auto"/>
              </w:rPr>
              <w:t>三级</w:t>
            </w:r>
          </w:p>
        </w:tc>
        <w:tc>
          <w:tcPr>
            <w:tcW w:w="1085" w:type="pct"/>
            <w:vMerge w:val="continue"/>
          </w:tcPr>
          <w:p>
            <w:pPr>
              <w:autoSpaceDE w:val="0"/>
              <w:autoSpaceDN w:val="0"/>
              <w:adjustRightInd w:val="0"/>
              <w:snapToGrid w:val="0"/>
              <w:jc w:val="center"/>
              <w:rPr>
                <w:rFonts w:eastAsia="仿宋"/>
                <w:color w:val="auto"/>
                <w:kern w:val="0"/>
                <w:sz w:val="24"/>
                <w:szCs w:val="32"/>
                <w:shd w:val="clear" w:color="auto" w:fill="auto"/>
              </w:rPr>
            </w:pPr>
          </w:p>
        </w:tc>
      </w:tr>
    </w:tbl>
    <w:p>
      <w:pPr>
        <w:pStyle w:val="5"/>
        <w:spacing w:line="360" w:lineRule="auto"/>
        <w:rPr>
          <w:rFonts w:ascii="宋体" w:hAnsi="宋体" w:eastAsia="宋体" w:cs="宋体"/>
          <w:b w:val="0"/>
          <w:color w:val="auto"/>
          <w:sz w:val="21"/>
          <w:szCs w:val="21"/>
          <w:shd w:val="clear" w:color="auto" w:fill="auto"/>
        </w:rPr>
      </w:pPr>
      <w:r>
        <w:rPr>
          <w:rFonts w:hint="eastAsia" w:ascii="宋体" w:hAnsi="宋体" w:eastAsia="宋体" w:cs="宋体"/>
          <w:color w:val="auto"/>
          <w:sz w:val="21"/>
          <w:szCs w:val="21"/>
          <w:shd w:val="clear" w:color="auto" w:fill="auto"/>
        </w:rPr>
        <w:t>二、测评内容</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1.总体要求：</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A．完成上述系统安全等级测评工作，测评后经用户方确认，出具符合</w:t>
      </w:r>
      <w:r>
        <w:rPr>
          <w:rStyle w:val="9"/>
          <w:rFonts w:hint="eastAsia" w:ascii="宋体" w:hAnsi="宋体" w:eastAsia="宋体" w:cs="宋体"/>
          <w:b w:val="0"/>
          <w:color w:val="auto"/>
          <w:sz w:val="21"/>
          <w:szCs w:val="21"/>
          <w:shd w:val="clear" w:color="auto" w:fill="auto"/>
        </w:rPr>
        <w:t>网络安全等级保护</w:t>
      </w:r>
      <w:r>
        <w:rPr>
          <w:rFonts w:hint="eastAsia" w:ascii="宋体" w:hAnsi="宋体" w:cs="宋体"/>
          <w:color w:val="auto"/>
          <w:szCs w:val="21"/>
          <w:shd w:val="clear" w:color="auto" w:fill="auto"/>
        </w:rPr>
        <w:t>测评要求的测评报告；</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B．对上述系统不符合</w:t>
      </w:r>
      <w:r>
        <w:rPr>
          <w:rStyle w:val="9"/>
          <w:rFonts w:hint="eastAsia" w:ascii="宋体" w:hAnsi="宋体" w:eastAsia="宋体" w:cs="宋体"/>
          <w:b w:val="0"/>
          <w:color w:val="auto"/>
          <w:sz w:val="21"/>
          <w:szCs w:val="21"/>
          <w:shd w:val="clear" w:color="auto" w:fill="auto"/>
        </w:rPr>
        <w:t>网络安全等级保护</w:t>
      </w:r>
      <w:r>
        <w:rPr>
          <w:rFonts w:hint="eastAsia" w:ascii="宋体" w:hAnsi="宋体" w:cs="宋体"/>
          <w:color w:val="auto"/>
          <w:szCs w:val="21"/>
          <w:shd w:val="clear" w:color="auto" w:fill="auto"/>
        </w:rPr>
        <w:t>有关管理规范和技术标准的，提出可行性整改方案，提供相应的安全整改建议书。</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2.质量要求：</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A．等级测评及服务原则：符合性原则、标准性原则、规范性原则、可控性原则、整体性原则。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B．</w:t>
      </w:r>
      <w:r>
        <w:rPr>
          <w:rStyle w:val="9"/>
          <w:rFonts w:hint="eastAsia" w:ascii="宋体" w:hAnsi="宋体" w:eastAsia="宋体" w:cs="宋体"/>
          <w:b w:val="0"/>
          <w:color w:val="auto"/>
          <w:sz w:val="21"/>
          <w:szCs w:val="21"/>
          <w:shd w:val="clear" w:color="auto" w:fill="auto"/>
        </w:rPr>
        <w:t>网络安全等级保护</w:t>
      </w:r>
      <w:r>
        <w:rPr>
          <w:rFonts w:hint="eastAsia" w:ascii="宋体" w:hAnsi="宋体" w:cs="宋体"/>
          <w:color w:val="auto"/>
          <w:szCs w:val="21"/>
          <w:shd w:val="clear" w:color="auto" w:fill="auto"/>
        </w:rPr>
        <w:t>定级及测评服务依据：</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《中华人民共和国网络安全法》</w:t>
      </w:r>
    </w:p>
    <w:p>
      <w:pPr>
        <w:spacing w:line="360" w:lineRule="auto"/>
        <w:ind w:firstLine="420" w:firstLineChars="200"/>
        <w:rPr>
          <w:rStyle w:val="9"/>
          <w:rFonts w:ascii="宋体" w:hAnsi="宋体" w:eastAsia="宋体" w:cs="宋体"/>
          <w:b w:val="0"/>
          <w:color w:val="auto"/>
          <w:sz w:val="21"/>
          <w:szCs w:val="21"/>
          <w:shd w:val="clear" w:color="auto" w:fill="auto"/>
        </w:rPr>
      </w:pPr>
      <w:r>
        <w:rPr>
          <w:rStyle w:val="9"/>
          <w:rFonts w:hint="eastAsia" w:ascii="宋体" w:hAnsi="宋体" w:eastAsia="宋体" w:cs="宋体"/>
          <w:b w:val="0"/>
          <w:color w:val="auto"/>
          <w:sz w:val="21"/>
          <w:szCs w:val="21"/>
          <w:shd w:val="clear" w:color="auto" w:fill="auto"/>
        </w:rPr>
        <w:t>《GB/T22239-2019信息安全技术 网络安全等级保护基本要求》，</w:t>
      </w:r>
    </w:p>
    <w:p>
      <w:pPr>
        <w:spacing w:line="360" w:lineRule="auto"/>
        <w:ind w:firstLine="420" w:firstLineChars="200"/>
        <w:rPr>
          <w:rStyle w:val="9"/>
          <w:rFonts w:ascii="宋体" w:hAnsi="宋体" w:eastAsia="宋体" w:cs="宋体"/>
          <w:b w:val="0"/>
          <w:color w:val="auto"/>
          <w:sz w:val="21"/>
          <w:szCs w:val="21"/>
          <w:shd w:val="clear" w:color="auto" w:fill="auto"/>
        </w:rPr>
      </w:pPr>
      <w:r>
        <w:rPr>
          <w:rStyle w:val="9"/>
          <w:rFonts w:hint="eastAsia" w:ascii="宋体" w:hAnsi="宋体" w:eastAsia="宋体" w:cs="宋体"/>
          <w:b w:val="0"/>
          <w:color w:val="auto"/>
          <w:sz w:val="21"/>
          <w:szCs w:val="21"/>
          <w:shd w:val="clear" w:color="auto" w:fill="auto"/>
        </w:rPr>
        <w:t>《GB/T28448-2019 信息安全技术 网络安全等级保护测评要求》，</w:t>
      </w:r>
    </w:p>
    <w:p>
      <w:pPr>
        <w:spacing w:line="360" w:lineRule="auto"/>
        <w:ind w:firstLine="420" w:firstLineChars="200"/>
        <w:rPr>
          <w:rStyle w:val="9"/>
          <w:rFonts w:ascii="宋体" w:hAnsi="宋体" w:eastAsia="宋体" w:cs="宋体"/>
          <w:b w:val="0"/>
          <w:color w:val="auto"/>
          <w:sz w:val="21"/>
          <w:szCs w:val="21"/>
          <w:shd w:val="clear" w:color="auto" w:fill="auto"/>
        </w:rPr>
      </w:pPr>
      <w:r>
        <w:rPr>
          <w:rStyle w:val="9"/>
          <w:rFonts w:hint="eastAsia" w:ascii="宋体" w:hAnsi="宋体" w:eastAsia="宋体" w:cs="宋体"/>
          <w:b w:val="0"/>
          <w:color w:val="auto"/>
          <w:sz w:val="21"/>
          <w:szCs w:val="21"/>
          <w:shd w:val="clear" w:color="auto" w:fill="auto"/>
        </w:rPr>
        <w:t>《GB/T 28449-2018 信息安全技术 网络安全等级保护测评过程指南》，</w:t>
      </w:r>
    </w:p>
    <w:p>
      <w:pPr>
        <w:spacing w:line="360" w:lineRule="auto"/>
        <w:ind w:firstLine="420" w:firstLineChars="200"/>
        <w:rPr>
          <w:rStyle w:val="9"/>
          <w:rFonts w:ascii="宋体" w:hAnsi="宋体" w:eastAsia="宋体" w:cs="宋体"/>
          <w:b w:val="0"/>
          <w:color w:val="auto"/>
          <w:sz w:val="21"/>
          <w:szCs w:val="21"/>
          <w:shd w:val="clear" w:color="auto" w:fill="auto"/>
        </w:rPr>
      </w:pPr>
      <w:r>
        <w:rPr>
          <w:rStyle w:val="9"/>
          <w:rFonts w:hint="eastAsia" w:ascii="宋体" w:hAnsi="宋体" w:eastAsia="宋体" w:cs="宋体"/>
          <w:b w:val="0"/>
          <w:color w:val="auto"/>
          <w:sz w:val="21"/>
          <w:szCs w:val="21"/>
          <w:shd w:val="clear" w:color="auto" w:fill="auto"/>
        </w:rPr>
        <w:t>《GB/T 25058-2019 信息安全技术 网络安全等级保护实施指南》。</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3.网络安全等级保护测评内容：</w:t>
      </w:r>
    </w:p>
    <w:p>
      <w:pPr>
        <w:spacing w:before="164" w:beforeLines="50" w:after="164" w:afterLines="50"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A．安全技术测评：包括安全物理环境、安全区域边界、安全通信网络、安全计算环境和安全管理中心五个方面的安全测评；</w:t>
      </w:r>
    </w:p>
    <w:p>
      <w:pPr>
        <w:spacing w:before="164" w:beforeLines="50" w:after="164" w:afterLines="50"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B．安全管理测评：安全管理机构、安全管理制度、安全管理人员、安全建设管理和安全运维管理五个方面的安全控制测评</w:t>
      </w:r>
    </w:p>
    <w:p>
      <w:pPr>
        <w:spacing w:before="164" w:beforeLines="50" w:after="164" w:afterLines="50"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4.提供整改咨询服务，根据所测系统的最终测评报告，对系统现状提出安全整改建议并协助整改工作，以期达到整改目的。</w:t>
      </w:r>
    </w:p>
    <w:p>
      <w:pPr>
        <w:pStyle w:val="5"/>
        <w:spacing w:line="360" w:lineRule="auto"/>
        <w:rPr>
          <w:rFonts w:ascii="宋体" w:hAnsi="宋体" w:eastAsia="宋体" w:cs="宋体"/>
          <w:b w:val="0"/>
          <w:color w:val="auto"/>
          <w:sz w:val="21"/>
          <w:szCs w:val="21"/>
          <w:shd w:val="clear" w:color="auto" w:fill="auto"/>
        </w:rPr>
      </w:pPr>
      <w:r>
        <w:rPr>
          <w:rFonts w:hint="eastAsia" w:ascii="宋体" w:hAnsi="宋体" w:eastAsia="宋体" w:cs="宋体"/>
          <w:color w:val="auto"/>
          <w:sz w:val="21"/>
          <w:szCs w:val="21"/>
          <w:shd w:val="clear" w:color="auto" w:fill="auto"/>
        </w:rPr>
        <w:t>三、测评原则：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1.客观性和公正性原则：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测评人员应当没有偏见，在最小主观判断情形下，按照评估双方相互认可的评估方案，基于明确定义的测评方式和解释，实施评估活动。</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2.可重复性和可再现性原则：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3.连续性原则：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4.扩展性原则：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在评估过程结束后，信息安全测评过程要保持扩展性，从扩展的属性上进一步加强测评结束后采购方的安全管理有效性和可用性。</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5.保密原则：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6.互动原则：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在整个测评过程中，强调采购方的互动参与，每个阶段都能够及时根据采购方的要求和实际情况对测评的内容、方式做出相关调整，进而更好的进行风险评估工作。</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7.最小影响原则：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8.规范性原则：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网络安全等级保护测评服务的实施必须由专业的测评服务人员依照规范的操作流程进行，对操作过程和结果要有相应的记录，并提供完整的服务报告。</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9.质量保障原则：</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在整个测评过程中，须特别重视项目质量管理。项目的实施将严格按照项目实施方案和流程进行，并由项目协调小组从中监督，控制项目的进度和质量。</w:t>
      </w:r>
    </w:p>
    <w:p>
      <w:pPr>
        <w:pStyle w:val="5"/>
        <w:spacing w:line="360" w:lineRule="auto"/>
        <w:rPr>
          <w:rFonts w:ascii="宋体" w:hAnsi="宋体" w:eastAsia="宋体" w:cs="宋体"/>
          <w:b w:val="0"/>
          <w:color w:val="auto"/>
          <w:sz w:val="21"/>
          <w:szCs w:val="21"/>
          <w:shd w:val="clear" w:color="auto" w:fill="auto"/>
        </w:rPr>
      </w:pPr>
      <w:r>
        <w:rPr>
          <w:rFonts w:hint="eastAsia" w:ascii="宋体" w:hAnsi="宋体" w:eastAsia="宋体" w:cs="宋体"/>
          <w:color w:val="auto"/>
          <w:sz w:val="21"/>
          <w:szCs w:val="21"/>
          <w:shd w:val="clear" w:color="auto" w:fill="auto"/>
        </w:rPr>
        <w:t>四、测评人员和时限要求：</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测评人员要求：本次测评至少需要1名高级测评师，1名中级测评师，1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2.测评时间要求：按照被测单位要求，合同签订完毕一周内启动测评工作。</w:t>
      </w:r>
    </w:p>
    <w:p>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3.测评期限要求：2023年12月31日前出具网络安全等保测评报告。</w:t>
      </w:r>
    </w:p>
    <w:p>
      <w:pPr>
        <w:pStyle w:val="5"/>
        <w:spacing w:line="360" w:lineRule="auto"/>
        <w:rPr>
          <w:rFonts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rPr>
        <w:t>五、服务地点：</w:t>
      </w:r>
      <w:r>
        <w:rPr>
          <w:rFonts w:hint="eastAsia" w:ascii="宋体" w:hAnsi="宋体" w:eastAsia="宋体" w:cs="宋体"/>
          <w:b w:val="0"/>
          <w:bCs w:val="0"/>
          <w:color w:val="auto"/>
          <w:kern w:val="0"/>
          <w:sz w:val="21"/>
          <w:szCs w:val="21"/>
          <w:shd w:val="clear" w:color="auto" w:fill="auto"/>
        </w:rPr>
        <w:t>采购方指定地点。</w:t>
      </w:r>
    </w:p>
    <w:p>
      <w:pPr>
        <w:pStyle w:val="5"/>
        <w:spacing w:line="360" w:lineRule="auto"/>
        <w:rPr>
          <w:rFonts w:ascii="宋体" w:hAnsi="宋体" w:eastAsia="宋体" w:cs="宋体"/>
          <w:b w:val="0"/>
          <w:bCs w:val="0"/>
          <w:color w:val="auto"/>
          <w:kern w:val="0"/>
          <w:sz w:val="21"/>
          <w:szCs w:val="21"/>
          <w:shd w:val="clear" w:color="auto" w:fill="auto"/>
        </w:rPr>
      </w:pPr>
      <w:r>
        <w:rPr>
          <w:rFonts w:hint="eastAsia" w:ascii="宋体" w:hAnsi="宋体" w:eastAsia="宋体" w:cs="宋体"/>
          <w:color w:val="auto"/>
          <w:kern w:val="0"/>
          <w:sz w:val="21"/>
          <w:szCs w:val="21"/>
          <w:shd w:val="clear" w:color="auto" w:fill="auto"/>
        </w:rPr>
        <w:t>六、付款时间和条件</w:t>
      </w:r>
    </w:p>
    <w:p>
      <w:pPr>
        <w:pStyle w:val="10"/>
        <w:ind w:firstLine="420" w:firstLineChars="200"/>
        <w:rPr>
          <w:rFonts w:cs="宋体"/>
          <w:color w:val="auto"/>
          <w:szCs w:val="21"/>
          <w:shd w:val="clear" w:color="auto" w:fill="auto"/>
        </w:rPr>
      </w:pPr>
      <w:r>
        <w:rPr>
          <w:rFonts w:hint="eastAsia" w:cs="宋体"/>
          <w:color w:val="auto"/>
          <w:szCs w:val="21"/>
          <w:shd w:val="clear" w:color="auto" w:fill="auto"/>
        </w:rPr>
        <w:t>签订合同后采购人支付合同总额60%，成交供应商出具等保报告后采购人支付合同总额40%。</w:t>
      </w:r>
    </w:p>
    <w:p>
      <w:pPr>
        <w:pStyle w:val="10"/>
        <w:ind w:firstLine="420" w:firstLineChars="200"/>
        <w:rPr>
          <w:rFonts w:cs="宋体"/>
          <w:color w:val="auto"/>
          <w:szCs w:val="21"/>
          <w:shd w:val="clear" w:color="auto" w:fil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F5864"/>
    <w:rsid w:val="01705C99"/>
    <w:rsid w:val="0FC26D88"/>
    <w:rsid w:val="100828AD"/>
    <w:rsid w:val="147E133E"/>
    <w:rsid w:val="167421DE"/>
    <w:rsid w:val="187675E6"/>
    <w:rsid w:val="1946255C"/>
    <w:rsid w:val="1AE42514"/>
    <w:rsid w:val="1B1E6DD1"/>
    <w:rsid w:val="1B9362C3"/>
    <w:rsid w:val="229F5864"/>
    <w:rsid w:val="2418219D"/>
    <w:rsid w:val="266D1322"/>
    <w:rsid w:val="27026E1B"/>
    <w:rsid w:val="2A790643"/>
    <w:rsid w:val="32047E1A"/>
    <w:rsid w:val="36BD095F"/>
    <w:rsid w:val="37FF0092"/>
    <w:rsid w:val="383B6F19"/>
    <w:rsid w:val="399E1B8D"/>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5">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kern w:val="0"/>
      <w:sz w:val="18"/>
      <w:szCs w:val="18"/>
    </w:rPr>
  </w:style>
  <w:style w:type="character" w:customStyle="1" w:styleId="9">
    <w:name w:val="样式 小四 加粗"/>
    <w:basedOn w:val="8"/>
    <w:qFormat/>
    <w:uiPriority w:val="0"/>
    <w:rPr>
      <w:rFonts w:eastAsia="黑体"/>
      <w:b/>
      <w:bCs/>
      <w:sz w:val="24"/>
    </w:rPr>
  </w:style>
  <w:style w:type="paragraph" w:customStyle="1" w:styleId="10">
    <w:name w:val="正文1"/>
    <w:basedOn w:val="1"/>
    <w:qFormat/>
    <w:uiPriority w:val="0"/>
    <w:pPr>
      <w:spacing w:line="360" w:lineRule="auto"/>
      <w:ind w:firstLine="361"/>
    </w:pPr>
    <w:rPr>
      <w:rFonts w:ascii="宋体" w:hAnsi="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2023-09-25T04:01:00Z</dcterms:created>
  <dc:creator>L</dc:creator>
  <cp:lastModifiedBy>L</cp:lastModifiedBy>
  <dcterms:modified xsi:type="dcterms:W3CDTF">2023-09-25T04:01:34Z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8AAA516AC8E4496EBF9F4EF85AC28367</vt:lpwstr>
  </property>
</Properties>
</file>