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color w:val="auto"/>
          <w:sz w:val="40"/>
          <w:szCs w:val="20"/>
          <w:highlight w:val="none"/>
          <w:lang w:eastAsia="zh-CN"/>
        </w:rPr>
        <w:t>南通市人民政府无纸化会议、督查督办系统驻场保障服务项目</w:t>
      </w:r>
      <w:r>
        <w:rPr>
          <w:rFonts w:hint="eastAsia" w:ascii="宋体" w:hAnsi="宋体" w:eastAsia="宋体" w:cs="宋体"/>
          <w:color w:val="auto"/>
          <w:w w:val="80"/>
          <w:sz w:val="40"/>
          <w:szCs w:val="40"/>
          <w:highlight w:val="none"/>
        </w:rPr>
        <w:t>需求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一、项目背景和现状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南通市无纸化会议系统，支持安卓手机、安卓平板访问。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围绕“即时化交办、可视化呈现、全流程监督、闭环式落实”的要求，基于南通市电子政务工作平台信创技术路线及功能架构，PC端建成交办督办、图说督查、实时数据、专报参阅等督查工作系统模块，实现在线督办市政府领导交办事项落实情况的功能。移动端主要开发实时分析、随交随办、动态展示、督查通讯等模块，满足高效、快捷、便利的督查工作需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二、项目运维服务内容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保障服务工作内容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系统保障服务工作包括但不限于以下内容：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1.系统使用保障服务：根据采购人要求在南通市政府为用户提供无纸化会议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 w:eastAsia="zh-CN"/>
        </w:rPr>
        <w:t>系统、督查系统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等相关办公室工作系统现场保障服务，高质量完成合同范围内用户方的派工工作，确保平台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模块有序运转、功能高效实现。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2.协助采购人做好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数据更新完善、系统功能维护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等驻场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工作，第一时间响应落实（不得超过采购人提出的时限），并每日更新工作日志清单。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3.每周与采购方至少定期会商一次，根据工作日志清单，双方交流近期驻场服务的情况。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4.除了驻场人员，供应商要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做好后台技术支撑，确保驻场服务高效有序；驻场人员有事不能提供服务的或一名驻场人员无法满足实际需求时，需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提前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调整或增加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5.根据采购人安排，配合完成市政府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或市政府办等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各类无纸化会议的会务保障工作。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6.采购人交办的其他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工作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事项。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其他服务要求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1.供应商应通过规范化的作业流程为用户提供优质、高效、专业的服务，需安排高度敬业且经验丰富的优秀工程师，通过规范的工作程序，提供最具有竞争力的技术服务。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2.对本项目的维护，需提供整体服务方案，采用以现场服务为主、远程支持为辅的方式进行维护。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3.保证现场服务时需求及时响应，同时提供7*24小时电话及远程技术服务。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4.供应商在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方案中必须列出确切的人员名单，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后运维人员必须和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方案中完全一致，否则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有权立即终止合同并索赔相关损失。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5.应急服务：当用户发生重大故障时，启动应急服务，协助用户尽量降低故障时间，减少业务损失。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6.采购单位有权对供应商安排运维服务人员开展业务技能、网络安全、保密教育以及人员背景审查，应按照采购人人员管理要求签订保密协议后进入项目组工作。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7.供应商需严格规范执行各项保密制度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 w:eastAsia="zh-CN"/>
        </w:rPr>
        <w:t>及采购单位内部管理制度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8.每月提交运维报告等相关资料。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9.相关软件的质保不在此次采购范围。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三、合同履行期限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自合同签订之日起三年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四、付款方式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当年服务期开始后十天内支付年度服务费用的50%，当年度服务期满后支付服务费用的50%。以后一年度的费用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均按前述付款执行。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46216"/>
    <w:rsid w:val="009476F7"/>
    <w:rsid w:val="01705C99"/>
    <w:rsid w:val="04723F17"/>
    <w:rsid w:val="091E181B"/>
    <w:rsid w:val="098E7907"/>
    <w:rsid w:val="0A9236AF"/>
    <w:rsid w:val="0C094B75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1740BCE"/>
    <w:rsid w:val="2418219D"/>
    <w:rsid w:val="266D1322"/>
    <w:rsid w:val="27026E1B"/>
    <w:rsid w:val="2A790643"/>
    <w:rsid w:val="2B01206B"/>
    <w:rsid w:val="32047E1A"/>
    <w:rsid w:val="36BD095F"/>
    <w:rsid w:val="37FF0092"/>
    <w:rsid w:val="383B6F19"/>
    <w:rsid w:val="399E1B8D"/>
    <w:rsid w:val="3E646216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BB73144"/>
    <w:rsid w:val="6FE611FF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2025-09-05T08:17:00Z</dcterms:created>
  <dc:creator>L</dc:creator>
  <cp:lastModifiedBy>L</cp:lastModifiedBy>
  <dcterms:modified xsi:type="dcterms:W3CDTF">2025-09-05T08:38:05Z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0F7077FBEA484A13955AE26E571019EB</vt:lpwstr>
  </property>
</Properties>
</file>