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CF" w:rsidRPr="006E70CF" w:rsidRDefault="006E70CF" w:rsidP="006E70CF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6E70CF">
        <w:rPr>
          <w:rFonts w:ascii="方正仿宋_GBK" w:eastAsia="方正仿宋_GBK" w:hAnsi="Times New Roman" w:cs="Times New Roman" w:hint="eastAsia"/>
          <w:sz w:val="32"/>
          <w:szCs w:val="32"/>
        </w:rPr>
        <w:t>附件</w:t>
      </w:r>
    </w:p>
    <w:p w:rsidR="00FE6184" w:rsidRPr="003E4265" w:rsidRDefault="00FE6184" w:rsidP="006E70CF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E4265">
        <w:rPr>
          <w:rFonts w:ascii="方正小标宋简体" w:eastAsia="方正小标宋简体" w:hAnsi="Times New Roman" w:cs="Times New Roman" w:hint="eastAsia"/>
          <w:sz w:val="44"/>
          <w:szCs w:val="44"/>
        </w:rPr>
        <w:t>市政府关于提升国家食品安全示范城市</w:t>
      </w:r>
    </w:p>
    <w:p w:rsidR="00FE6184" w:rsidRDefault="00FE6184" w:rsidP="006E70CF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3E4265">
        <w:rPr>
          <w:rFonts w:ascii="方正小标宋简体" w:eastAsia="方正小标宋简体" w:hAnsi="Times New Roman" w:cs="Times New Roman" w:hint="eastAsia"/>
          <w:sz w:val="44"/>
          <w:szCs w:val="44"/>
        </w:rPr>
        <w:t>长效动态管理水平的意见</w:t>
      </w:r>
      <w:r w:rsidRPr="003E4265">
        <w:rPr>
          <w:rFonts w:ascii="方正小标宋简体" w:eastAsia="方正小标宋简体" w:hAnsi="Calibri" w:cs="Times New Roman" w:hint="eastAsia"/>
          <w:sz w:val="44"/>
          <w:szCs w:val="44"/>
        </w:rPr>
        <w:t>（草案）</w:t>
      </w:r>
    </w:p>
    <w:p w:rsidR="003E4265" w:rsidRPr="003E4265" w:rsidRDefault="003E4265" w:rsidP="006E70CF">
      <w:pPr>
        <w:spacing w:line="640" w:lineRule="exact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3E4265">
        <w:rPr>
          <w:rFonts w:ascii="方正楷体_GBK" w:eastAsia="方正楷体_GBK" w:hAnsi="Calibri" w:cs="Times New Roman" w:hint="eastAsia"/>
          <w:sz w:val="32"/>
          <w:szCs w:val="32"/>
        </w:rPr>
        <w:t>（征求意见稿）</w:t>
      </w:r>
      <w:bookmarkStart w:id="0" w:name="_GoBack"/>
      <w:bookmarkEnd w:id="0"/>
    </w:p>
    <w:p w:rsidR="00FE6184" w:rsidRPr="00FE6184" w:rsidRDefault="00FE6184" w:rsidP="00FE6184">
      <w:pPr>
        <w:tabs>
          <w:tab w:val="right" w:leader="dot" w:pos="8296"/>
        </w:tabs>
        <w:spacing w:line="560" w:lineRule="exact"/>
        <w:rPr>
          <w:rFonts w:ascii="Times New Roman" w:eastAsia="宋体" w:hAnsi="Times New Roman" w:cs="Times New Roman"/>
          <w:szCs w:val="21"/>
        </w:rPr>
      </w:pPr>
    </w:p>
    <w:p w:rsidR="00FE6184" w:rsidRPr="003E4265" w:rsidRDefault="00FE6184" w:rsidP="006E70CF">
      <w:pPr>
        <w:spacing w:line="560" w:lineRule="exact"/>
        <w:ind w:left="2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E4265">
        <w:rPr>
          <w:rFonts w:ascii="Times New Roman" w:eastAsia="方正仿宋_GBK" w:hAnsi="Times New Roman" w:cs="Times New Roman"/>
          <w:sz w:val="32"/>
          <w:szCs w:val="32"/>
        </w:rPr>
        <w:t>为推动国家食品安全示范城市长效动态管理常态化、规范化、制度化，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根据《国家食品安全示范城市评价与管理办法》等规定，结合我市实际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，现就提升国家食品安全示范城市长效动态管理水平提出如下意见。</w:t>
      </w:r>
    </w:p>
    <w:p w:rsidR="00FE6184" w:rsidRPr="003E4265" w:rsidRDefault="00FE6184" w:rsidP="006E70CF">
      <w:pPr>
        <w:tabs>
          <w:tab w:val="right" w:leader="dot" w:pos="8296"/>
        </w:tabs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21"/>
        </w:rPr>
      </w:pPr>
      <w:r w:rsidRPr="003E4265">
        <w:rPr>
          <w:rFonts w:ascii="Times New Roman" w:eastAsia="方正黑体_GBK" w:hAnsi="Times New Roman" w:cs="Times New Roman"/>
          <w:sz w:val="32"/>
          <w:szCs w:val="21"/>
        </w:rPr>
        <w:t>一、</w:t>
      </w:r>
      <w:r w:rsidRPr="003E4265">
        <w:rPr>
          <w:rFonts w:ascii="Times New Roman" w:eastAsia="方正黑体_GBK" w:hAnsi="Times New Roman" w:cs="Times New Roman" w:hint="eastAsia"/>
          <w:sz w:val="32"/>
          <w:szCs w:val="21"/>
        </w:rPr>
        <w:t>工作目标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E4265">
        <w:rPr>
          <w:rFonts w:ascii="Times New Roman" w:eastAsia="方正仿宋_GBK" w:hAnsi="Times New Roman" w:cs="Times New Roman"/>
          <w:sz w:val="32"/>
          <w:szCs w:val="32"/>
        </w:rPr>
        <w:t>深入贯彻落实习近平总书记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四个最严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要求，坚持问题导向和底线思维，强化源头严防、过程严管、风险严控、违法严惩，推动农田到餐桌全链条覆盖、全领域监管、全业态规范、全行业自律、全社会共治，实现食品安全工作基础、食品风险管控水平、食品安全治理能力、食品产业发展质量、群众满意度获得感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五个新提升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，有效解决食品安全重点领域风险隐患和突出问题，持续擦亮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国家食品安全示范城市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金字招牌。</w:t>
      </w:r>
    </w:p>
    <w:p w:rsidR="00FE6184" w:rsidRPr="003E4265" w:rsidRDefault="00FE6184" w:rsidP="006E70CF">
      <w:pPr>
        <w:spacing w:line="560" w:lineRule="exact"/>
        <w:ind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 w:rsidRPr="003E4265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Pr="003E4265">
        <w:rPr>
          <w:rFonts w:ascii="Times New Roman" w:eastAsia="方正黑体_GBK" w:hAnsi="Times New Roman" w:cs="Times New Roman" w:hint="eastAsia"/>
          <w:sz w:val="32"/>
          <w:szCs w:val="32"/>
        </w:rPr>
        <w:t>着力</w:t>
      </w:r>
      <w:r w:rsidRPr="003E4265">
        <w:rPr>
          <w:rFonts w:ascii="Times New Roman" w:eastAsia="方正黑体_GBK" w:hAnsi="Times New Roman" w:cs="Times New Roman"/>
          <w:sz w:val="32"/>
          <w:szCs w:val="32"/>
        </w:rPr>
        <w:t>完善五项长效机制</w:t>
      </w:r>
    </w:p>
    <w:p w:rsidR="00FE6184" w:rsidRPr="003E4265" w:rsidRDefault="00FE6184" w:rsidP="006E70CF">
      <w:pPr>
        <w:spacing w:line="560" w:lineRule="exact"/>
        <w:ind w:firstLineChars="200" w:firstLine="640"/>
        <w:outlineLvl w:val="2"/>
        <w:rPr>
          <w:rFonts w:ascii="方正仿宋_GBK" w:eastAsia="方正仿宋_GBK" w:hAnsi="Times New Roman" w:cs="Times New Roman"/>
          <w:bCs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bCs/>
          <w:sz w:val="32"/>
          <w:szCs w:val="32"/>
        </w:rPr>
        <w:t>（一）严实责任长效机制。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严实属地管理责任，</w:t>
      </w:r>
      <w:r w:rsidRPr="003E4265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完善食品安全责任清单，运用挂牌督办、责任约谈、责令整改、提醒敦促“三书一函”制度压实责任，探索推行事前评估、事中服务、事后跟踪的“包保+”督导机制，持续深化基层政府食品安全工作“八有六化”（“有机构、有场所、有人员、</w:t>
      </w:r>
      <w:r w:rsidRPr="003E4265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lastRenderedPageBreak/>
        <w:t>有保障、有职责、有计划、有培训、有宣传”和“管理责任网格化、日常巡查常态化、单位场所户籍化、监督执法联动化、监管手段信息化、问题发现导向化”）建设。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严实企业主体责任，</w:t>
      </w:r>
      <w:r w:rsidRPr="003E4265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全面推行食品安全总监制度，推动企业制定个性化风险管控清单，落实“日管控、周排查、月调度”机制。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严实行业管理责任，</w:t>
      </w:r>
      <w:r w:rsidRPr="003E4265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坚持管行业必须管安全，推动食品安全责任落实、日常管理、检查指导、教育培训、宣传引导、应急处置“六个到位”。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严实部门监管责任，</w:t>
      </w:r>
      <w:r w:rsidRPr="003E4265">
        <w:rPr>
          <w:rFonts w:ascii="方正仿宋_GBK" w:eastAsia="方正仿宋_GBK" w:hAnsi="Times New Roman" w:cs="Times New Roman" w:hint="eastAsia"/>
          <w:bCs/>
          <w:sz w:val="32"/>
          <w:szCs w:val="32"/>
        </w:rPr>
        <w:t>建立完善以</w:t>
      </w:r>
      <w:r w:rsidRPr="003E4265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“双随机、一公开”监管为基本手段，以重点监管为补充，以信用监管为基础，以规范程序为保障的“四位一体”监管机制，综合运用监督抽检、监督检查、飞行检查、体系检查等手段，提升问题发现率、立案查处率、整改闭环率。</w:t>
      </w:r>
    </w:p>
    <w:p w:rsidR="00FE6184" w:rsidRPr="003E4265" w:rsidRDefault="00FE6184" w:rsidP="006E70CF">
      <w:pPr>
        <w:spacing w:line="560" w:lineRule="exact"/>
        <w:ind w:firstLineChars="200" w:firstLine="640"/>
        <w:outlineLvl w:val="2"/>
        <w:rPr>
          <w:rFonts w:ascii="Calibri" w:eastAsia="宋体" w:hAnsi="Calibri" w:cs="Times New Roman"/>
          <w:szCs w:val="24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Pr="003E4265">
        <w:rPr>
          <w:rFonts w:ascii="Times New Roman" w:eastAsia="方正楷体_GBK" w:hAnsi="Times New Roman" w:cs="Times New Roman"/>
          <w:bCs/>
          <w:sz w:val="32"/>
          <w:szCs w:val="32"/>
        </w:rPr>
        <w:t>全程治理长效机制。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坚持严控源头，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深入开展食用农产品质量安全治理，聚焦“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11+4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”重点品种，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不断完善农业投入品定点经营、实名购买、使用记录机制，严格执行农药安全间隔期、兽药休药期，防范农药兽药残留超标；不断健全生猪定点屠宰、畜禽屠宰检验检疫和病死畜禽无害化处理机制；有效实施粮食收购资格审核、质量检测、溯源管理、超标处置等制度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坚持严管生产，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持续改进进货查验、过程控制、出厂检验、定期自查</w:t>
      </w:r>
      <w:r w:rsidRPr="003E4265">
        <w:rPr>
          <w:rFonts w:ascii="方正仿宋_GBK" w:eastAsia="方正仿宋_GBK" w:hAnsi="Times New Roman" w:cs="方正楷体_GBK" w:hint="eastAsia"/>
          <w:snapToGrid w:val="0"/>
          <w:kern w:val="32"/>
          <w:sz w:val="32"/>
          <w:szCs w:val="32"/>
        </w:rPr>
        <w:t>等质量管控机制，明确食品安全关键控制点及防控措施，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持续加大乳制品、肉制品、白酒、食用植物油、食品添加剂等重点生产企业风险防控力度，</w:t>
      </w:r>
      <w:r w:rsidRPr="003E4265">
        <w:rPr>
          <w:rFonts w:ascii="方正仿宋_GBK" w:eastAsia="方正仿宋_GBK" w:hAnsi="Times New Roman" w:cs="方正楷体_GBK" w:hint="eastAsia"/>
          <w:snapToGrid w:val="0"/>
          <w:kern w:val="32"/>
          <w:sz w:val="32"/>
          <w:szCs w:val="32"/>
        </w:rPr>
        <w:t>不断提升风险识别、风险评估、风险管控水平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。推动规上企业实施先进管理体系。</w:t>
      </w:r>
      <w:r w:rsidRPr="003E4265">
        <w:rPr>
          <w:rFonts w:ascii="方正仿宋_GBK" w:eastAsia="方正仿宋_GBK" w:hAnsi="Times New Roman" w:cs="Times New Roman" w:hint="eastAsia"/>
          <w:b/>
          <w:sz w:val="32"/>
          <w:szCs w:val="32"/>
        </w:rPr>
        <w:t>坚持严抓经营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，严把食品销售关，有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效落实索证索票、规范贮存、全程温控、自查整改等机制；严把餐饮服务关，建立完善人员管理、采购储存、加工操作、清洗消毒、食品留样及运输配送的全程管理机制，有效落实餐饮服务食品安全操作规范要求。加强大型连锁商超、集体用餐配送单位、中央厨房等重点食品经营主体监管，完善餐厨垃圾集中收集处置机制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（三）风险管控长效机制。</w:t>
      </w:r>
      <w:r w:rsidRPr="003E4265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完善闭环管理机制，</w:t>
      </w:r>
      <w:r w:rsidRPr="003E4265">
        <w:rPr>
          <w:rFonts w:ascii="方正仿宋_GBK" w:eastAsia="方正仿宋_GBK" w:hAnsi="Times New Roman" w:cs="Times New Roman" w:hint="eastAsia"/>
          <w:sz w:val="32"/>
          <w:szCs w:val="24"/>
        </w:rPr>
        <w:t>通过日常巡查、风险监测、检验检测、投诉举报、监督检查、舆情监测等渠道及时发现苗头性、潜在性风险，实现常态化排查、联动式研判、精准化预警、实时化交办、销号式处置。</w:t>
      </w:r>
      <w:r w:rsidRPr="003E4265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完善定期会诊机制，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坚持“常态+紧急”、“全面+专题”相结合，强化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信息通报、形势会商、风险交流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、研判预警。</w:t>
      </w:r>
      <w:r w:rsidRPr="003E4265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完善专项治理机制，</w:t>
      </w:r>
      <w:r w:rsidRPr="003E4265">
        <w:rPr>
          <w:rFonts w:ascii="方正仿宋_GBK" w:eastAsia="方正仿宋_GBK" w:hAnsi="Times New Roman" w:cs="Times New Roman" w:hint="eastAsia"/>
          <w:sz w:val="32"/>
          <w:szCs w:val="24"/>
        </w:rPr>
        <w:t>针对行业共性隐蔽问题以及群众反映强烈的突出问题，加强行业潜规则的侦查和分析研判，有计划地组织开展专项整治。</w:t>
      </w:r>
      <w:r w:rsidRPr="003E4265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完善应急处置机制，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健全食品安全应急工作体系，定期开展应急演练</w:t>
      </w:r>
      <w:r w:rsidRPr="003E4265">
        <w:rPr>
          <w:rFonts w:ascii="方正仿宋_GBK" w:eastAsia="方正仿宋_GBK" w:hAnsi="Times New Roman" w:cs="Times New Roman" w:hint="eastAsia"/>
          <w:sz w:val="32"/>
          <w:szCs w:val="24"/>
        </w:rPr>
        <w:t>，</w:t>
      </w:r>
      <w:r w:rsidRPr="003E4265">
        <w:rPr>
          <w:rFonts w:ascii="方正仿宋_GBK" w:eastAsia="方正仿宋_GBK" w:hAnsi="Calibri" w:cs="Times New Roman" w:hint="eastAsia"/>
          <w:kern w:val="0"/>
          <w:sz w:val="32"/>
          <w:szCs w:val="32"/>
        </w:rPr>
        <w:t>积极稳妥做好食品安全事件与舆情应急处置。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 w:hint="eastAsia"/>
          <w:sz w:val="32"/>
          <w:szCs w:val="32"/>
        </w:rPr>
        <w:t>（四）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监管执法长效机制。</w:t>
      </w:r>
      <w:r w:rsidRPr="003E4265">
        <w:rPr>
          <w:rFonts w:ascii="Calibri" w:eastAsia="方正仿宋_GBK" w:hAnsi="Calibri" w:cs="Times New Roman"/>
          <w:b/>
          <w:bCs/>
          <w:kern w:val="0"/>
          <w:sz w:val="32"/>
          <w:szCs w:val="32"/>
        </w:rPr>
        <w:t>完善法律支撑</w:t>
      </w:r>
      <w:r w:rsidRPr="003E4265">
        <w:rPr>
          <w:rFonts w:ascii="Calibri" w:eastAsia="方正仿宋_GBK" w:hAnsi="Calibri" w:cs="Times New Roman" w:hint="eastAsia"/>
          <w:b/>
          <w:bCs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聚焦重点领域和食品生产经营新业态，推动食品安全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小快灵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地方立法或出台规范性文件。</w:t>
      </w:r>
      <w:r w:rsidRPr="003E4265">
        <w:rPr>
          <w:rFonts w:ascii="Calibri" w:eastAsia="方正仿宋_GBK" w:hAnsi="Calibri" w:cs="Times New Roman" w:hint="eastAsia"/>
          <w:b/>
          <w:bCs/>
          <w:kern w:val="0"/>
          <w:sz w:val="32"/>
          <w:szCs w:val="32"/>
        </w:rPr>
        <w:t>保持高压态势，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加大对使用禁限用药物、私屠滥宰和屠宰病死畜禽</w:t>
      </w:r>
      <w:r w:rsidRPr="003E4265"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两超一非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、生产销售不符合安全标准食品、侵权假冒食品、农产品冻品走私等违法</w:t>
      </w:r>
      <w:r w:rsidRPr="003E4265">
        <w:rPr>
          <w:rFonts w:ascii="Times New Roman" w:eastAsia="方正仿宋_GBK" w:hAnsi="Times New Roman" w:cs="Times New Roman" w:hint="eastAsia"/>
          <w:sz w:val="32"/>
          <w:szCs w:val="24"/>
        </w:rPr>
        <w:t>犯罪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行为的打击力度，</w:t>
      </w:r>
      <w:r w:rsidRPr="003E4265">
        <w:rPr>
          <w:rFonts w:ascii="Times New Roman" w:eastAsia="方正仿宋_GBK" w:hAnsi="Times New Roman" w:cs="Times New Roman" w:hint="eastAsia"/>
          <w:sz w:val="32"/>
          <w:szCs w:val="24"/>
        </w:rPr>
        <w:t>推行“简案快办”“重案严办”，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落实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处罚到人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要求，依法实施食品行业从业禁止。</w:t>
      </w:r>
      <w:r w:rsidRPr="003E4265">
        <w:rPr>
          <w:rFonts w:ascii="Calibri" w:eastAsia="方正仿宋_GBK" w:hAnsi="Calibri" w:cs="Times New Roman" w:hint="eastAsia"/>
          <w:b/>
          <w:bCs/>
          <w:kern w:val="0"/>
          <w:sz w:val="32"/>
          <w:szCs w:val="32"/>
        </w:rPr>
        <w:t>强化行刑衔接，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完善</w:t>
      </w:r>
      <w:r w:rsidRPr="003E4265">
        <w:rPr>
          <w:rFonts w:ascii="Calibri" w:eastAsia="方正仿宋_GBK" w:hAnsi="Calibri" w:cs="Times New Roman"/>
          <w:sz w:val="32"/>
          <w:szCs w:val="32"/>
        </w:rPr>
        <w:t>公安常驻市场监管办公机制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、</w:t>
      </w:r>
      <w:r w:rsidRPr="003E4265">
        <w:rPr>
          <w:rFonts w:ascii="Times New Roman" w:eastAsia="方正仿宋_GBK" w:hAnsi="Times New Roman" w:cs="Times New Roman"/>
          <w:bCs/>
          <w:sz w:val="32"/>
          <w:szCs w:val="24"/>
        </w:rPr>
        <w:t>大要案提前介入机制、涉刑案件涉案产品认定程序</w:t>
      </w:r>
      <w:r w:rsidRPr="003E4265">
        <w:rPr>
          <w:rFonts w:ascii="Times New Roman" w:eastAsia="方正仿宋_GBK" w:hAnsi="Times New Roman" w:cs="Times New Roman" w:hint="eastAsia"/>
          <w:bCs/>
          <w:sz w:val="32"/>
          <w:szCs w:val="24"/>
        </w:rPr>
        <w:t>，</w:t>
      </w:r>
      <w:r w:rsidRPr="003E4265">
        <w:rPr>
          <w:rFonts w:ascii="Times New Roman" w:eastAsia="方正仿宋_GBK" w:hAnsi="Times New Roman" w:cs="Times New Roman"/>
          <w:bCs/>
          <w:sz w:val="32"/>
          <w:szCs w:val="24"/>
        </w:rPr>
        <w:t>充分发挥打击食品违法犯罪</w:t>
      </w:r>
      <w:r w:rsidRPr="003E4265">
        <w:rPr>
          <w:rFonts w:ascii="Times New Roman" w:eastAsia="方正仿宋_GBK" w:hAnsi="Times New Roman" w:cs="Times New Roman" w:hint="eastAsia"/>
          <w:bCs/>
          <w:sz w:val="32"/>
          <w:szCs w:val="24"/>
        </w:rPr>
        <w:t>协同</w:t>
      </w:r>
      <w:r w:rsidRPr="003E4265">
        <w:rPr>
          <w:rFonts w:ascii="Times New Roman" w:eastAsia="方正仿宋_GBK" w:hAnsi="Times New Roman" w:cs="Times New Roman"/>
          <w:bCs/>
          <w:sz w:val="32"/>
          <w:szCs w:val="24"/>
        </w:rPr>
        <w:t>优势。</w:t>
      </w:r>
      <w:r w:rsidRPr="003E4265">
        <w:rPr>
          <w:rFonts w:ascii="Calibri" w:eastAsia="方正仿宋_GBK" w:hAnsi="Calibri" w:cs="Times New Roman" w:hint="eastAsia"/>
          <w:b/>
          <w:bCs/>
          <w:kern w:val="0"/>
          <w:sz w:val="32"/>
          <w:szCs w:val="32"/>
        </w:rPr>
        <w:t>严格责任追究，</w:t>
      </w:r>
      <w:r w:rsidRPr="003E4265">
        <w:rPr>
          <w:rFonts w:ascii="Calibri" w:eastAsia="方正仿宋_GBK" w:hAnsi="Calibri" w:cs="Times New Roman" w:hint="eastAsia"/>
          <w:kern w:val="0"/>
          <w:sz w:val="32"/>
          <w:szCs w:val="32"/>
        </w:rPr>
        <w:t>健全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问题线索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双移送双通报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机制，</w:t>
      </w:r>
      <w:r w:rsidRPr="003E4265">
        <w:rPr>
          <w:rFonts w:ascii="Calibri" w:eastAsia="方正仿宋_GBK" w:hAnsi="Calibri" w:cs="Times New Roman" w:hint="eastAsia"/>
          <w:kern w:val="0"/>
          <w:sz w:val="32"/>
          <w:szCs w:val="32"/>
        </w:rPr>
        <w:t>对食品安全工作中失职渎职、违纪违法等问题，严肃追究有关人员纪律责任和法律责任。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（五）社会共治长效机制。</w:t>
      </w:r>
      <w:r w:rsidRPr="003E4265">
        <w:rPr>
          <w:rFonts w:ascii="Calibri" w:eastAsia="方正仿宋_GBK" w:hAnsi="Calibri" w:cs="Times New Roman" w:hint="eastAsia"/>
          <w:kern w:val="0"/>
          <w:sz w:val="32"/>
          <w:szCs w:val="32"/>
        </w:rPr>
        <w:t>通过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举办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食品安全宣传周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、食品安全进基层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等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活动，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常态化开展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法律法规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科普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知识、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制止餐饮浪费宣传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，让“人人懂食品安全、个个促食品安全”。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发挥行业协会监督、协调和引导作用，完善行业规范和自律公约</w:t>
      </w:r>
      <w:r w:rsidRPr="003E4265">
        <w:rPr>
          <w:rFonts w:ascii="Times New Roman" w:eastAsia="方正仿宋_GBK" w:hAnsi="Times New Roman" w:cs="Times New Roman" w:hint="eastAsia"/>
          <w:sz w:val="32"/>
          <w:szCs w:val="24"/>
        </w:rPr>
        <w:t>。</w:t>
      </w:r>
      <w:r w:rsidRPr="003E4265">
        <w:rPr>
          <w:rFonts w:ascii="Calibri" w:eastAsia="方正仿宋_GBK" w:hAnsi="Calibri" w:cs="Times New Roman"/>
          <w:kern w:val="0"/>
          <w:sz w:val="32"/>
          <w:szCs w:val="32"/>
        </w:rPr>
        <w:t>聚焦食品安全重点业态，</w:t>
      </w:r>
      <w:r w:rsidRPr="003E4265">
        <w:rPr>
          <w:rFonts w:ascii="Times New Roman" w:eastAsia="方正仿宋_GBK" w:hAnsi="Times New Roman" w:cs="Times New Roman" w:hint="eastAsia"/>
          <w:sz w:val="32"/>
          <w:szCs w:val="24"/>
        </w:rPr>
        <w:t>探索推广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食品安全责任保险</w:t>
      </w:r>
      <w:r w:rsidRPr="003E4265">
        <w:rPr>
          <w:rFonts w:ascii="Times New Roman" w:eastAsia="方正仿宋_GBK" w:hAnsi="Times New Roman" w:cs="Times New Roman"/>
          <w:sz w:val="32"/>
          <w:szCs w:val="24"/>
        </w:rPr>
        <w:t>。</w:t>
      </w:r>
      <w:r w:rsidRPr="003E4265">
        <w:rPr>
          <w:rFonts w:ascii="Times New Roman" w:eastAsia="方正仿宋_GBK" w:hAnsi="Times New Roman" w:cs="Times New Roman"/>
          <w:bCs/>
          <w:sz w:val="32"/>
          <w:szCs w:val="24"/>
        </w:rPr>
        <w:t>强化社会监督</w:t>
      </w:r>
      <w:r w:rsidRPr="003E4265">
        <w:rPr>
          <w:rFonts w:ascii="Times New Roman" w:eastAsia="方正仿宋_GBK" w:hAnsi="Times New Roman" w:cs="Times New Roman" w:hint="eastAsia"/>
          <w:bCs/>
          <w:sz w:val="32"/>
          <w:szCs w:val="24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加强食品安全志愿者队伍建设，持续开展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餐饮安全你我同查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等社会共治活动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建立健全吹哨人制度。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探索建立</w:t>
      </w:r>
      <w:r w:rsidRPr="003E4265">
        <w:rPr>
          <w:rFonts w:ascii="Calibri" w:eastAsia="方正仿宋_GBK" w:hAnsi="Calibri" w:cs="Times New Roman"/>
          <w:sz w:val="32"/>
          <w:szCs w:val="32"/>
        </w:rPr>
        <w:t>食品安全指数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模型，定期开展食品安全评价和满意度调查</w:t>
      </w:r>
      <w:r w:rsidRPr="003E4265">
        <w:rPr>
          <w:rFonts w:ascii="Calibri" w:eastAsia="方正仿宋_GBK" w:hAnsi="Calibri" w:cs="Times New Roman"/>
          <w:sz w:val="32"/>
          <w:szCs w:val="32"/>
        </w:rPr>
        <w:t>，不断提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高</w:t>
      </w:r>
      <w:r w:rsidRPr="003E4265">
        <w:rPr>
          <w:rFonts w:ascii="Calibri" w:eastAsia="方正仿宋_GBK" w:hAnsi="Calibri" w:cs="Times New Roman"/>
          <w:sz w:val="32"/>
          <w:szCs w:val="32"/>
        </w:rPr>
        <w:t>食品安全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长效</w:t>
      </w:r>
      <w:r w:rsidRPr="003E4265">
        <w:rPr>
          <w:rFonts w:ascii="Calibri" w:eastAsia="方正仿宋_GBK" w:hAnsi="Calibri" w:cs="Times New Roman"/>
          <w:sz w:val="32"/>
          <w:szCs w:val="32"/>
        </w:rPr>
        <w:t>动态管理</w:t>
      </w:r>
      <w:r w:rsidRPr="003E4265">
        <w:rPr>
          <w:rFonts w:ascii="Calibri" w:eastAsia="方正仿宋_GBK" w:hAnsi="Calibri" w:cs="Times New Roman" w:hint="eastAsia"/>
          <w:sz w:val="32"/>
          <w:szCs w:val="32"/>
        </w:rPr>
        <w:t>的针对性和有效性。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E4265">
        <w:rPr>
          <w:rFonts w:ascii="Times New Roman" w:eastAsia="方正黑体_GBK" w:hAnsi="Times New Roman" w:cs="Times New Roman"/>
          <w:sz w:val="32"/>
          <w:szCs w:val="32"/>
        </w:rPr>
        <w:t>三、持续推进十大重点提升工程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（一）食用农产品质量安全提升工程。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完善产地准出和市场准入衔接机制，建立健全农产品承诺达标合格证问题通报协查机制。依托食用农产品信息化追溯管理系统，建立健全食用农产品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一证一票一码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全程追溯机制。坚持食用农产品检管结合，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构建完善批发市场检测、农贸市场自检、监管部门联动快检、实验室法定检测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四位一体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检测体系。强化快检数据归集、分析和应用，有效提升快检疑似阳性检出率和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无害化处置率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（二）食品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三小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规范提升工程。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狠抓建档、规范、集中、提升四个关键环节，推动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三小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从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小、散、低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向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精、特、美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转型升级。推行小餐饮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“333”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规范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，做到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硬件配备、清洁卫生、信息公示三到位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加工制作、清洗消毒、分区标识三规范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原料控制、自查整改、风险防控三强化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落实食品小作坊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三净两清一严禁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要求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，做到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人员着装、生产环境、设施设备三洁净，原辅材料来源、产品销售去向两清晰，严禁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两超一非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试点探索食品摊贩集中区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四化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管理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，做到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规范提升标准化、摊贩备案信息化、评价管理积分化、信息公示透明化。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（三）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一小一老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等</w:t>
      </w:r>
      <w:r w:rsidRPr="003E4265">
        <w:rPr>
          <w:rFonts w:ascii="Times New Roman" w:eastAsia="方正楷体_GBK" w:hAnsi="Times New Roman" w:cs="Times New Roman" w:hint="eastAsia"/>
          <w:sz w:val="32"/>
          <w:szCs w:val="32"/>
        </w:rPr>
        <w:t>重点领域餐饮质量安全</w:t>
      </w:r>
      <w:r w:rsidRPr="003E4265">
        <w:rPr>
          <w:rFonts w:ascii="Times New Roman" w:eastAsia="方正楷体_GBK" w:hAnsi="Times New Roman" w:cs="Times New Roman"/>
          <w:sz w:val="32"/>
          <w:szCs w:val="32"/>
        </w:rPr>
        <w:t>提升工程。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建立健全学校、养老机构、医疗机构、建筑工地、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大型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企业等集中供餐单位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及旅游景区食品安全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长效管理机制，严把许可准入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进货查验、环境卫生、人员管理、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加工操作、清洗消毒“六道关口”，提升餐饮安全保障能力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加强学校和养老机构食堂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互联网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+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明厨亮灶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动态管理，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提升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教育、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民政、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市场监管部门对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后厨加工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实时监控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的精准性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制定出台学校食品安全市级地方标准，推行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HACCP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管理体系认证</w:t>
      </w:r>
      <w:r w:rsidRPr="003E4265">
        <w:rPr>
          <w:rFonts w:ascii="Times New Roman" w:eastAsia="方正仿宋_GBK" w:hAnsi="Times New Roman" w:cs="Times New Roman" w:hint="eastAsia"/>
          <w:sz w:val="32"/>
          <w:szCs w:val="32"/>
        </w:rPr>
        <w:t>，提升食品安全管理水平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（四）农村食品安全综合治理提升工程。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常态化发布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农村食品安全消费提示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多形式加强宣传引导。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标准化推进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农村经营店建设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，统一食品安全规范要求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精准化治理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农村地区生产经营假冒、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山寨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三无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、劣质及过期食品等突出问题，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严惩违法犯罪分子，曝光典型案例。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规范化加强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农村集体聚餐食品安全管理，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推动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人员管理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信息报备、现场指导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、问题整改“四到位”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FE6184" w:rsidRPr="003E4265" w:rsidRDefault="00FE6184" w:rsidP="006E70CF">
      <w:pPr>
        <w:tabs>
          <w:tab w:val="right" w:leader="dot" w:pos="8296"/>
        </w:tabs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21"/>
        </w:rPr>
      </w:pPr>
      <w:r w:rsidRPr="003E4265">
        <w:rPr>
          <w:rFonts w:ascii="Times New Roman" w:eastAsia="方正楷体_GBK" w:hAnsi="Times New Roman" w:cs="Times New Roman"/>
          <w:sz w:val="32"/>
          <w:szCs w:val="21"/>
        </w:rPr>
        <w:t>（五）食品新领域新业态规范提升工程。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实施地方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立法，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推行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网络餐饮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三个一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食品安全治理模式。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加强养老助餐、社区食堂监管，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坚持宣传培训、责任约谈、监管执法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三位一体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，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推动主体台账、供餐资质、监督检查、风险管控、培训指导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五到位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做好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“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双无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”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保健食品换证工作，加强保健食品备案管理，强化保健食品科普、反诈宣传。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规范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预制菜产业发展，鼓励企业开发具有江海特色的预制菜品。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针对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跨境电商、直播带货、生鲜配送、社区团购、月子会所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、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无人餐厅、无人商超等</w:t>
      </w:r>
      <w:r w:rsidRPr="003E4265">
        <w:rPr>
          <w:rFonts w:ascii="方正仿宋_GBK" w:eastAsia="方正仿宋_GBK" w:hAnsi="Times New Roman" w:cs="Times New Roman" w:hint="eastAsia"/>
          <w:sz w:val="32"/>
          <w:szCs w:val="21"/>
        </w:rPr>
        <w:t>新领域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新业态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，</w:t>
      </w:r>
      <w:r w:rsidRPr="003E4265">
        <w:rPr>
          <w:rFonts w:ascii="方正仿宋_GBK" w:eastAsia="方正仿宋_GBK" w:hAnsi="Times New Roman" w:cs="Times New Roman" w:hint="eastAsia"/>
          <w:sz w:val="32"/>
          <w:szCs w:val="21"/>
        </w:rPr>
        <w:t>依托人工智能、大数据、物联网等信息化手段，及时感知、科学分析、有效处置风险隐患，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在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包容审慎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监管中提升产业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规范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化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发展</w:t>
      </w:r>
      <w:r w:rsidRPr="003E4265">
        <w:rPr>
          <w:rFonts w:ascii="Times New Roman" w:eastAsia="方正仿宋_GBK" w:hAnsi="Times New Roman" w:cs="Times New Roman" w:hint="eastAsia"/>
          <w:sz w:val="32"/>
          <w:szCs w:val="21"/>
        </w:rPr>
        <w:t>水平</w:t>
      </w:r>
      <w:r w:rsidRPr="003E4265">
        <w:rPr>
          <w:rFonts w:ascii="Times New Roman" w:eastAsia="方正仿宋_GBK" w:hAnsi="Times New Roman" w:cs="Times New Roman"/>
          <w:sz w:val="32"/>
          <w:szCs w:val="21"/>
        </w:rPr>
        <w:t>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kern w:val="0"/>
          <w:sz w:val="32"/>
          <w:szCs w:val="32"/>
        </w:rPr>
        <w:t>（六）重大活动食品安全保障能力提升工程。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制定出台市级地方标准，推广实施重大活动食品安全保障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三结合三强化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模式（提前介入和全程防控相结合、驻点保障和巡查督查相结合、程序规范和应急预案相结合，强化培训指导、菜单评估、快速检测），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加大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制度建设、信息化应用、监督管理等方面创新力度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全力保障重大活动食品安全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零事故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（七）食品安全治理基础强化提升工程。</w:t>
      </w:r>
      <w:r w:rsidRPr="003E4265">
        <w:rPr>
          <w:rFonts w:ascii="方正仿宋_GBK" w:eastAsia="方正仿宋_GBK" w:hAnsi="Times New Roman" w:cs="Times New Roman" w:hint="eastAsia"/>
          <w:sz w:val="32"/>
          <w:szCs w:val="32"/>
        </w:rPr>
        <w:t>完善管理标准，</w:t>
      </w:r>
      <w:r w:rsidRPr="003E4265">
        <w:rPr>
          <w:rFonts w:ascii="方正仿宋_GBK" w:eastAsia="方正仿宋_GBK" w:hAnsi="Times New Roman" w:cs="Times New Roman" w:hint="eastAsia"/>
          <w:snapToGrid w:val="0"/>
          <w:sz w:val="32"/>
          <w:szCs w:val="32"/>
        </w:rPr>
        <w:t>制定一批食品安全地方标准，</w:t>
      </w:r>
      <w:r w:rsidRPr="003E4265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建立健全食品安全综合治理标准化体系。强化技术支撑，推动科研成果推广应用，推进国家级、省级检验中心、重点实验室、技术创新中心建设。夯实基层基础，加强专业化检查队伍及协管员、信息员队伍建设，提升基层检验检测、检查执法装备水平，完善基层农业农村、市场监管、公安、乡镇（街道）等部门协同联动机制，推进食品安全工作减负提质增效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（八）食品安全智慧监管能力提升工程。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推行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一中心、两平台、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N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应用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智慧监管模式，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强化南通市食品安全信息化监管指挥中心建设，加快形成全方位、全领域、全过程监管格局。持续完善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食安南通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智慧监管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平台，推进食品许可、监督检查、抽检监测、稽查执法、投诉举报等大数据归集，实现精准化分析、科学化应用、实时化共享。不断优化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互联网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+”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非现场远程视频监控平台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，形成重点主体广覆盖、关键区域进监控、违规操作可感知、预警处置显实效的监控网络。深入拓展全链条场景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应用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推动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农产品质量追溯系统、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食品生产非现场监管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系统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优化升级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推进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互联网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明厨亮灶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系统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提质扩面，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探索“明作亮坊”、“电子执法取证”等系统应用。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sz w:val="32"/>
          <w:szCs w:val="32"/>
        </w:rPr>
        <w:t>（九）食品安全信用监管能力提升工程。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推行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通用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专业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+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特定领域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食品安全信用监管模式，引入专业风险评价指标作为特征因子，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分领域构建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生产、销售、餐饮分级管理指标体系，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形成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信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用监管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专业模型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科学划分食品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主体信用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风险等级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，在监管方式、比例、频次等方面采取差异化监管措施，对信用风险等级低的监管对象做到“无事不扰”，对信用风险等级高的做到“时刻都在”，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有效拓展诚信激励、失信惩戒在食品监管方面的运用。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探索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食品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中小主体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积分制管理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，纳入分级管理指标体系。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楷体_GBK" w:hAnsi="Times New Roman" w:cs="Times New Roman"/>
          <w:kern w:val="0"/>
          <w:sz w:val="32"/>
          <w:szCs w:val="32"/>
        </w:rPr>
        <w:t>（十）食品产业高质量发展工程。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推动食品产业由小到大，大力培育地方特色食品龙头企业，发挥产业链主引擎作用和聚合辐射效应，带动上下游中小企业发展。推动食品产业由散到聚，立足本地特色食品产业资源，加强规划布局，打造品质园区，实施精准招商，不断延链补链强链，形成产业集群效应。推动食品产业由低到高，深入开展“旗舰领航”赋能强企行动，引导企业提标准、重创新、强质量、树品牌，提高南通好食品话语权和影响力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各地、各部门要坚持把食品安全工作作为全局性重点工作，分年度制定工作任务清单，压实工作责任，优化投入保障，健全食品安全工作高位推进机制，确保国家食品安全示范城市长效动态管理持续深化、取得实效。</w:t>
      </w:r>
    </w:p>
    <w:p w:rsidR="00FE6184" w:rsidRPr="003E4265" w:rsidRDefault="00FE6184" w:rsidP="006E70C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本文件自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202X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日起施行，有效期至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202X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</w:t>
      </w:r>
      <w:r w:rsidRPr="003E4265">
        <w:rPr>
          <w:rFonts w:ascii="Times New Roman" w:eastAsia="方正仿宋_GBK" w:hAnsi="Times New Roman" w:cs="Times New Roman"/>
          <w:kern w:val="0"/>
          <w:sz w:val="32"/>
          <w:szCs w:val="32"/>
        </w:rPr>
        <w:t>X</w:t>
      </w:r>
      <w:r w:rsidRPr="003E42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日。</w:t>
      </w:r>
    </w:p>
    <w:p w:rsidR="00013C93" w:rsidRDefault="00013C93"/>
    <w:sectPr w:rsidR="0001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18"/>
    <w:rsid w:val="00013C93"/>
    <w:rsid w:val="00176399"/>
    <w:rsid w:val="001B7D2F"/>
    <w:rsid w:val="003E4265"/>
    <w:rsid w:val="006E70CF"/>
    <w:rsid w:val="00820318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2024-09-21T09:01:00Z</dcterms:created>
  <dcterms:modified xsi:type="dcterms:W3CDTF">2024-09-29T03:35:00Z</dcterms:modified>
</cp:coreProperties>
</file>