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w w:val="80"/>
          <w:szCs w:val="44"/>
          <w:highlight w:val="none"/>
        </w:rPr>
      </w:pPr>
      <w:bookmarkStart w:id="1" w:name="_GoBack"/>
      <w:r>
        <w:rPr>
          <w:rFonts w:hint="eastAsia" w:ascii="宋体" w:hAnsi="宋体" w:eastAsia="宋体" w:cs="宋体"/>
          <w:w w:val="80"/>
          <w:szCs w:val="44"/>
          <w:highlight w:val="none"/>
          <w:lang w:eastAsia="zh-CN"/>
        </w:rPr>
        <w:t>南通市政府网站智能问答平台建设项目</w:t>
      </w:r>
      <w:r>
        <w:rPr>
          <w:rFonts w:hint="eastAsia" w:ascii="宋体" w:hAnsi="宋体" w:eastAsia="宋体" w:cs="宋体"/>
          <w:w w:val="80"/>
          <w:szCs w:val="44"/>
          <w:highlight w:val="none"/>
        </w:rPr>
        <w:t>需求</w:t>
      </w:r>
    </w:p>
    <w:bookmarkEnd w:id="1"/>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请供应商在制作响应文件时仔细研究项目需求说</w:t>
      </w:r>
      <w:r>
        <w:rPr>
          <w:rFonts w:hint="eastAsia" w:ascii="宋体" w:hAnsi="宋体" w:cs="宋体"/>
          <w:spacing w:val="7"/>
          <w:sz w:val="24"/>
          <w:szCs w:val="24"/>
          <w:highlight w:val="none"/>
        </w:rPr>
        <w:t>明。</w:t>
      </w:r>
      <w:r>
        <w:rPr>
          <w:rFonts w:hint="eastAsia" w:ascii="宋体" w:hAnsi="宋体" w:cs="宋体"/>
          <w:sz w:val="24"/>
          <w:szCs w:val="24"/>
          <w:highlight w:val="none"/>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务部分正负偏离表》和《技术部分正负偏离表》上明示，如不明示的视同完全响应。</w:t>
      </w:r>
    </w:p>
    <w:p>
      <w:pPr>
        <w:spacing w:line="360" w:lineRule="auto"/>
        <w:ind w:firstLine="480" w:firstLineChars="200"/>
        <w:rPr>
          <w:rFonts w:hint="eastAsia" w:ascii="宋体" w:hAnsi="宋体" w:cs="宋体"/>
          <w:sz w:val="24"/>
          <w:szCs w:val="24"/>
          <w:highlight w:val="none"/>
        </w:rPr>
      </w:pPr>
      <w:bookmarkStart w:id="0" w:name="二、项目具体需求说明"/>
      <w:bookmarkEnd w:id="0"/>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rPr>
      </w:pPr>
      <w:r>
        <w:rPr>
          <w:rFonts w:hint="eastAsia" w:ascii="Times New Roman" w:hAnsi="宋体" w:eastAsia="宋体" w:cs="宋体"/>
          <w:b/>
          <w:bCs/>
          <w:sz w:val="24"/>
          <w:szCs w:val="24"/>
          <w:highlight w:val="none"/>
        </w:rPr>
        <w:t>一、采购标的需实现的功能或者目标, 以及为落实政府采购政策需满足的要求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政府网站发展指引》（国办发〔2017〕47号）和《政府网站检查指标》要求，进一步增强政府网站在线服务能力，提升政府网上履职能力和服务水平，打造高效惠民的网上政府，让公众享受高效、实时的问答服务，建设南通市政府网站智能问答平台。</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rPr>
      </w:pPr>
      <w:r>
        <w:rPr>
          <w:rFonts w:hint="eastAsia" w:ascii="Times New Roman" w:hAnsi="宋体" w:eastAsia="宋体" w:cs="宋体"/>
          <w:b/>
          <w:bCs/>
          <w:sz w:val="24"/>
          <w:szCs w:val="24"/>
          <w:highlight w:val="none"/>
        </w:rPr>
        <w:t>二、采购标的需执行的国家相关标准、行业标准、地方标准或者其他标准、规范如下</w:t>
      </w:r>
    </w:p>
    <w:p>
      <w:pPr>
        <w:pStyle w:val="6"/>
        <w:keepNext w:val="0"/>
        <w:keepLines w:val="0"/>
        <w:pageBreakBefore w:val="0"/>
        <w:kinsoku/>
        <w:wordWrap/>
        <w:overflowPunct/>
        <w:topLinePunct w:val="0"/>
        <w:autoSpaceDE/>
        <w:autoSpaceDN/>
        <w:bidi w:val="0"/>
        <w:adjustRightInd/>
        <w:spacing w:before="0" w:beforeAutospacing="0" w:after="0" w:afterAutospacing="0" w:line="360" w:lineRule="auto"/>
        <w:textAlignment w:val="auto"/>
        <w:rPr>
          <w:rFonts w:hint="eastAsia" w:ascii="宋体" w:hAnsi="宋体" w:eastAsia="宋体" w:cs="宋体"/>
          <w:kern w:val="2"/>
          <w:sz w:val="24"/>
          <w:szCs w:val="24"/>
          <w:highlight w:val="none"/>
          <w:lang w:val="en-US" w:eastAsia="zh-CN" w:bidi="ar-SA"/>
        </w:rPr>
      </w:pPr>
      <w:r>
        <w:rPr>
          <w:rFonts w:hint="eastAsia" w:ascii="仿宋" w:hAnsi="仿宋" w:eastAsia="仿宋" w:cs="MS Mincho"/>
          <w:kern w:val="2"/>
          <w:sz w:val="28"/>
          <w:szCs w:val="28"/>
          <w:highlight w:val="none"/>
        </w:rPr>
        <w:t>  </w:t>
      </w:r>
      <w:r>
        <w:rPr>
          <w:rFonts w:hint="eastAsia" w:ascii="宋体" w:hAnsi="宋体" w:eastAsia="宋体" w:cs="宋体"/>
          <w:kern w:val="2"/>
          <w:sz w:val="24"/>
          <w:szCs w:val="24"/>
          <w:highlight w:val="none"/>
          <w:lang w:val="en-US" w:eastAsia="zh-CN" w:bidi="ar-SA"/>
        </w:rPr>
        <w:t>计算机软件工程规范国家标准。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rPr>
      </w:pPr>
      <w:r>
        <w:rPr>
          <w:rFonts w:hint="eastAsia" w:ascii="Times New Roman" w:hAnsi="宋体" w:eastAsia="宋体" w:cs="宋体"/>
          <w:b/>
          <w:bCs/>
          <w:sz w:val="24"/>
          <w:szCs w:val="24"/>
          <w:highlight w:val="none"/>
        </w:rPr>
        <w:t>三、采购标的需满足的质量、安全、技术规格、物理特性等要求如下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智能问答平台要覆盖南通市政府门户网站（含市级部门网站资源）、县（市、区）门户网站所有资源，通过点击不同的地区（政府主站及10个区县）名称进行平台之间的切换；南通市政府门户网站与各县（市、区）门户网站智能问答平台均独立搭建智能问答库，并完成各自智能问答平台挂接上网。</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1.智能问答交互。能根据用户咨询的问题进行内容拆词并提取关键词，实现自动智能提示，能根据数据资源库分类给出答案。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2.检索内容联想。用户进行问题输入时，可联想关联知识库中的热点或相似的内容，并进行提示。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3.支持拼音提示。用户输入拼音时，可关联提示对应文字。</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4.疑似错别字提示。用户输入的文字如果有误，可根据错别词库进行自动比对判断，可关联提示对应正常的词组。</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5.提问信息采集。当用户输入攻击性、敏感词词语时，进行监控记录，关联IP或用户信息。</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智能知识库数据处理。问答知识库内容来自政府网站集约化平台数据库，涉及到其他相关网站数据，进行抓取入库，通过智能处理形成知识库数据，包括拆词、数据重要元素提取、附件正文内容关键词抽取、数据分类结构处理。智能知识库要做到及时更新，与数据源一致。主站至少形成疫情防控、社保就业、税收政策等六类主题（主题可以变化调整），区县不得少于四类主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7.通俗语言过滤引擎。提供通俗语言过滤库维护功能，用于比对、过滤通俗语言内容，以便提取出用户提问内容中的关键词语。</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8.问答学习库。提供关键词语对应内容的维护功能，支持单个关键词回复内容的维护、多个关键词组合回复内容的维护。</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9.对接问答咨询。完成对接政府门户网站办件系统，用户可后续在用户中心查询问题的反馈结果。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用户使用分析。设计完善的日志报表分析系统，包含日常运行数据的统计、相关服务分析统计，生成相应的数据报表，可导出表格；对业务进行深入分析并可不断提升服务能力，同时全面反映智能服务系统的运行情况和效果。</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rPr>
      </w:pPr>
      <w:r>
        <w:rPr>
          <w:rFonts w:hint="eastAsia" w:ascii="Times New Roman" w:hAnsi="宋体" w:eastAsia="宋体" w:cs="宋体"/>
          <w:b/>
          <w:bCs/>
          <w:sz w:val="24"/>
          <w:szCs w:val="24"/>
          <w:highlight w:val="none"/>
          <w:lang w:val="en-US" w:eastAsia="zh-CN"/>
        </w:rPr>
        <w:t>四、</w:t>
      </w:r>
      <w:r>
        <w:rPr>
          <w:rFonts w:hint="eastAsia" w:ascii="Times New Roman" w:hAnsi="宋体" w:eastAsia="宋体" w:cs="宋体"/>
          <w:b/>
          <w:bCs/>
          <w:sz w:val="24"/>
          <w:szCs w:val="24"/>
          <w:highlight w:val="none"/>
        </w:rPr>
        <w:t>采购标的数量、采购项目交付或者实施的时间和地点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1.交货期（服务时间）：自合同签定之日至2021年12月7日完成该项目。</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2.交货（服务）地点：南通市大数据管理局</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lang w:val="en-US" w:eastAsia="zh-CN"/>
        </w:rPr>
      </w:pPr>
      <w:r>
        <w:rPr>
          <w:rFonts w:hint="eastAsia" w:ascii="Times New Roman" w:hAnsi="宋体" w:eastAsia="宋体" w:cs="宋体"/>
          <w:b/>
          <w:bCs/>
          <w:sz w:val="24"/>
          <w:szCs w:val="24"/>
          <w:highlight w:val="none"/>
          <w:lang w:val="en-US" w:eastAsia="zh-CN"/>
        </w:rPr>
        <w:t>五、采购标的需满足的服务标准、期限、效率等要求如下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本项目专家验收通过后，免费维保1年。</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lang w:val="en-US" w:eastAsia="zh-CN"/>
        </w:rPr>
      </w:pPr>
      <w:r>
        <w:rPr>
          <w:rFonts w:hint="eastAsia" w:ascii="Times New Roman" w:hAnsi="宋体" w:eastAsia="宋体" w:cs="宋体"/>
          <w:b/>
          <w:bCs/>
          <w:sz w:val="24"/>
          <w:szCs w:val="24"/>
          <w:highlight w:val="none"/>
          <w:lang w:val="en-US" w:eastAsia="zh-CN"/>
        </w:rPr>
        <w:t>六、采购标的验收标准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采购单位按合同约定积极配合供应商履约，按合同约定及时组织相关技术人员参与验收，并出具验收报告，验收合格意见作为支付款项的依据。</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lang w:val="en-US" w:eastAsia="zh-CN"/>
        </w:rPr>
      </w:pPr>
      <w:r>
        <w:rPr>
          <w:rFonts w:hint="eastAsia" w:ascii="Times New Roman" w:hAnsi="宋体" w:eastAsia="宋体" w:cs="宋体"/>
          <w:b/>
          <w:bCs/>
          <w:sz w:val="24"/>
          <w:szCs w:val="24"/>
          <w:highlight w:val="none"/>
          <w:lang w:val="en-US" w:eastAsia="zh-CN"/>
        </w:rPr>
        <w:t>七、采购标的其他技术、服务等要求</w:t>
      </w:r>
    </w:p>
    <w:p>
      <w:pPr>
        <w:pStyle w:val="4"/>
        <w:keepNext w:val="0"/>
        <w:keepLines w:val="0"/>
        <w:pageBreakBefore w:val="0"/>
        <w:kinsoku/>
        <w:wordWrap/>
        <w:overflowPunct/>
        <w:topLinePunct w:val="0"/>
        <w:autoSpaceDE/>
        <w:autoSpaceDN/>
        <w:bidi w:val="0"/>
        <w:adjustRightInd/>
        <w:spacing w:line="360" w:lineRule="auto"/>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 </w:t>
      </w:r>
      <w:r>
        <w:rPr>
          <w:rFonts w:ascii="仿宋" w:hAnsi="仿宋" w:eastAsia="仿宋" w:cs="宋体"/>
          <w:sz w:val="28"/>
          <w:szCs w:val="28"/>
          <w:highlight w:val="none"/>
        </w:rPr>
        <w:t xml:space="preserve">  </w:t>
      </w:r>
      <w:r>
        <w:rPr>
          <w:rFonts w:hint="eastAsia" w:ascii="宋体" w:hAnsi="宋体" w:eastAsia="宋体" w:cs="宋体"/>
          <w:kern w:val="2"/>
          <w:sz w:val="24"/>
          <w:szCs w:val="24"/>
          <w:highlight w:val="none"/>
          <w:lang w:val="en-US" w:eastAsia="zh-CN" w:bidi="ar-SA"/>
        </w:rPr>
        <w:t xml:space="preserve"> 无。</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outlineLvl w:val="1"/>
        <w:rPr>
          <w:rFonts w:hint="eastAsia" w:ascii="Times New Roman" w:hAnsi="宋体" w:eastAsia="宋体" w:cs="宋体"/>
          <w:b/>
          <w:bCs/>
          <w:sz w:val="24"/>
          <w:szCs w:val="24"/>
          <w:highlight w:val="none"/>
          <w:lang w:val="en-US" w:eastAsia="zh-CN"/>
        </w:rPr>
      </w:pPr>
      <w:r>
        <w:rPr>
          <w:rFonts w:hint="eastAsia" w:ascii="Times New Roman" w:hAnsi="宋体" w:eastAsia="宋体" w:cs="宋体"/>
          <w:b/>
          <w:bCs/>
          <w:sz w:val="24"/>
          <w:szCs w:val="24"/>
          <w:highlight w:val="none"/>
          <w:lang w:val="en-US" w:eastAsia="zh-CN"/>
        </w:rPr>
        <w:t>八、付款条件</w:t>
      </w:r>
    </w:p>
    <w:p>
      <w:pPr>
        <w:pStyle w:val="2"/>
        <w:keepNext w:val="0"/>
        <w:keepLines w:val="0"/>
        <w:pageBreakBefore w:val="0"/>
        <w:kinsoku/>
        <w:wordWrap/>
        <w:overflowPunct/>
        <w:topLinePunct w:val="0"/>
        <w:autoSpaceDE/>
        <w:autoSpaceDN/>
        <w:bidi w:val="0"/>
        <w:adjustRightInd/>
        <w:spacing w:line="360" w:lineRule="auto"/>
        <w:ind w:right="306"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签订合同后15日内，支付合同金额的50%；项目验收合格后，支付余款。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11B28"/>
    <w:rsid w:val="6FF1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uiPriority w:val="99"/>
    <w:rPr>
      <w:rFonts w:ascii="宋体" w:hAnsi="Courier New"/>
      <w:kern w:val="0"/>
      <w:sz w:val="20"/>
      <w:szCs w:val="21"/>
    </w:rPr>
  </w:style>
  <w:style w:type="paragraph" w:styleId="5">
    <w:name w:val="footer"/>
    <w:basedOn w:val="1"/>
    <w:uiPriority w:val="0"/>
    <w:pPr>
      <w:tabs>
        <w:tab w:val="center" w:pos="4153"/>
        <w:tab w:val="right" w:pos="8306"/>
      </w:tabs>
      <w:snapToGrid w:val="0"/>
      <w:jc w:val="left"/>
    </w:pPr>
    <w:rPr>
      <w:kern w:val="0"/>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2021-10-11T06:10:00Z</dcterms:created>
  <dc:creator>li</dc:creator>
  <cp:lastModifiedBy>li</cp:lastModifiedBy>
  <dcterms:modified xsi:type="dcterms:W3CDTF">2021-10-11T06:10:45Z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208B1D9EE1964612A8D0C390488CAC63</vt:lpwstr>
  </property>
</Properties>
</file>